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E7" w:rsidRDefault="00A866E7" w:rsidP="00A866E7">
      <w:pPr>
        <w:spacing w:line="240" w:lineRule="auto"/>
        <w:jc w:val="center"/>
        <w:outlineLvl w:val="0"/>
        <w:rPr>
          <w:rFonts w:eastAsia="Calibri" w:cs="Arial"/>
          <w:sz w:val="20"/>
        </w:rPr>
      </w:pPr>
      <w:r>
        <w:rPr>
          <w:rFonts w:cs="Arial"/>
          <w:noProof/>
          <w:sz w:val="20"/>
          <w:lang w:eastAsia="fr-BE"/>
        </w:rPr>
        <w:drawing>
          <wp:inline distT="0" distB="0" distL="0" distR="0">
            <wp:extent cx="638175" cy="64833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8175" cy="648335"/>
                    </a:xfrm>
                    <a:prstGeom prst="rect">
                      <a:avLst/>
                    </a:prstGeom>
                    <a:noFill/>
                    <a:ln w="9525">
                      <a:noFill/>
                      <a:miter lim="800000"/>
                      <a:headEnd/>
                      <a:tailEnd/>
                    </a:ln>
                  </pic:spPr>
                </pic:pic>
              </a:graphicData>
            </a:graphic>
          </wp:inline>
        </w:drawing>
      </w:r>
    </w:p>
    <w:p w:rsidR="00A866E7" w:rsidRDefault="00A866E7" w:rsidP="00A866E7">
      <w:pPr>
        <w:spacing w:line="240" w:lineRule="auto"/>
        <w:jc w:val="center"/>
        <w:outlineLvl w:val="0"/>
        <w:rPr>
          <w:rFonts w:ascii="Times New Roman" w:hAnsi="Times New Roman"/>
          <w:b/>
          <w:i/>
          <w:sz w:val="32"/>
          <w:szCs w:val="32"/>
          <w:lang w:val="en-US"/>
        </w:rPr>
      </w:pPr>
      <w:r w:rsidRPr="007A719D">
        <w:rPr>
          <w:rFonts w:ascii="Times New Roman" w:hAnsi="Times New Roman"/>
          <w:b/>
          <w:i/>
          <w:sz w:val="32"/>
          <w:szCs w:val="32"/>
          <w:lang w:val="en-US"/>
        </w:rPr>
        <w:t>International A</w:t>
      </w:r>
      <w:r w:rsidRPr="007A719D">
        <w:rPr>
          <w:rFonts w:ascii="Times New Roman" w:eastAsia="Calibri" w:hAnsi="Times New Roman"/>
          <w:b/>
          <w:i/>
          <w:sz w:val="32"/>
          <w:szCs w:val="32"/>
          <w:lang w:val="en-US"/>
        </w:rPr>
        <w:t xml:space="preserve">ssociation </w:t>
      </w:r>
      <w:r w:rsidRPr="007A719D">
        <w:rPr>
          <w:rFonts w:ascii="Times New Roman" w:hAnsi="Times New Roman"/>
          <w:b/>
          <w:i/>
          <w:sz w:val="32"/>
          <w:szCs w:val="32"/>
          <w:lang w:val="en-US"/>
        </w:rPr>
        <w:t xml:space="preserve">of Economic and Social Councils </w:t>
      </w:r>
    </w:p>
    <w:p w:rsidR="00A866E7" w:rsidRPr="007A719D" w:rsidRDefault="00A866E7" w:rsidP="00A866E7">
      <w:pPr>
        <w:spacing w:line="240" w:lineRule="auto"/>
        <w:jc w:val="center"/>
        <w:outlineLvl w:val="0"/>
        <w:rPr>
          <w:rFonts w:ascii="Times New Roman" w:eastAsia="Calibri" w:hAnsi="Times New Roman"/>
          <w:sz w:val="32"/>
          <w:szCs w:val="32"/>
          <w:lang w:val="en-US"/>
        </w:rPr>
      </w:pPr>
      <w:r w:rsidRPr="007A719D">
        <w:rPr>
          <w:rFonts w:ascii="Times New Roman" w:hAnsi="Times New Roman"/>
          <w:b/>
          <w:i/>
          <w:sz w:val="32"/>
          <w:szCs w:val="32"/>
          <w:lang w:val="en-US"/>
        </w:rPr>
        <w:t>an</w:t>
      </w:r>
      <w:r>
        <w:rPr>
          <w:rFonts w:ascii="Times New Roman" w:hAnsi="Times New Roman"/>
          <w:b/>
          <w:i/>
          <w:sz w:val="32"/>
          <w:szCs w:val="32"/>
          <w:lang w:val="en-US"/>
        </w:rPr>
        <w:t>d</w:t>
      </w:r>
      <w:r w:rsidRPr="007A719D">
        <w:rPr>
          <w:rFonts w:ascii="Times New Roman" w:hAnsi="Times New Roman"/>
          <w:b/>
          <w:i/>
          <w:sz w:val="32"/>
          <w:szCs w:val="32"/>
          <w:lang w:val="en-US"/>
        </w:rPr>
        <w:t xml:space="preserve"> Similar </w:t>
      </w:r>
      <w:r>
        <w:rPr>
          <w:rFonts w:ascii="Times New Roman" w:hAnsi="Times New Roman"/>
          <w:b/>
          <w:i/>
          <w:sz w:val="32"/>
          <w:szCs w:val="32"/>
          <w:lang w:val="en-US"/>
        </w:rPr>
        <w:t>I</w:t>
      </w:r>
      <w:r w:rsidRPr="007A719D">
        <w:rPr>
          <w:rFonts w:ascii="Times New Roman" w:eastAsia="Calibri" w:hAnsi="Times New Roman"/>
          <w:b/>
          <w:i/>
          <w:sz w:val="32"/>
          <w:szCs w:val="32"/>
          <w:lang w:val="en-US"/>
        </w:rPr>
        <w:t>nstitutions</w:t>
      </w:r>
    </w:p>
    <w:p w:rsidR="00A866E7" w:rsidRPr="007A719D" w:rsidRDefault="00A866E7" w:rsidP="00A866E7">
      <w:pPr>
        <w:spacing w:line="240" w:lineRule="auto"/>
        <w:jc w:val="center"/>
        <w:outlineLvl w:val="0"/>
        <w:rPr>
          <w:rFonts w:ascii="Times New Roman" w:eastAsia="Calibri" w:hAnsi="Times New Roman"/>
          <w:b/>
          <w:sz w:val="32"/>
          <w:szCs w:val="32"/>
          <w:lang w:val="en-US"/>
        </w:rPr>
      </w:pPr>
      <w:r w:rsidRPr="007A719D">
        <w:rPr>
          <w:rFonts w:ascii="Times New Roman" w:eastAsia="Calibri" w:hAnsi="Times New Roman"/>
          <w:b/>
          <w:sz w:val="32"/>
          <w:szCs w:val="32"/>
          <w:lang w:val="en-US"/>
        </w:rPr>
        <w:t>(AICESIS)</w:t>
      </w:r>
    </w:p>
    <w:p w:rsidR="00A866E7" w:rsidRPr="00792BE2" w:rsidRDefault="00A866E7" w:rsidP="00A866E7">
      <w:pPr>
        <w:jc w:val="right"/>
        <w:rPr>
          <w:rFonts w:ascii="Times New Roman" w:hAnsi="Times New Roman"/>
          <w:b/>
          <w:szCs w:val="24"/>
          <w:lang w:val="en-US"/>
        </w:rPr>
      </w:pPr>
      <w:r w:rsidRPr="00792BE2">
        <w:rPr>
          <w:rFonts w:ascii="Times New Roman" w:hAnsi="Times New Roman"/>
          <w:b/>
          <w:szCs w:val="24"/>
          <w:lang w:val="en-US"/>
        </w:rPr>
        <w:t>January 2014</w:t>
      </w:r>
    </w:p>
    <w:p w:rsidR="00EA1230" w:rsidRPr="00A866E7" w:rsidRDefault="00EA1230" w:rsidP="00EA1230">
      <w:pPr>
        <w:jc w:val="center"/>
        <w:rPr>
          <w:rFonts w:ascii="Times New Roman" w:hAnsi="Times New Roman"/>
          <w:b/>
          <w:sz w:val="40"/>
          <w:szCs w:val="40"/>
          <w:u w:val="single"/>
          <w:lang w:val="fr-BE"/>
        </w:rPr>
      </w:pPr>
      <w:r w:rsidRPr="00A866E7">
        <w:rPr>
          <w:rFonts w:ascii="Times New Roman" w:hAnsi="Times New Roman"/>
          <w:b/>
          <w:sz w:val="40"/>
          <w:szCs w:val="40"/>
          <w:u w:val="single"/>
          <w:lang w:val="fr-BE"/>
        </w:rPr>
        <w:t>Social Dialogue in Ireland</w:t>
      </w:r>
    </w:p>
    <w:p w:rsidR="00EA1230" w:rsidRPr="00A866E7" w:rsidRDefault="00EA1230" w:rsidP="00EA1230">
      <w:pPr>
        <w:jc w:val="left"/>
        <w:rPr>
          <w:rFonts w:ascii="Times New Roman" w:hAnsi="Times New Roman"/>
          <w:szCs w:val="24"/>
          <w:lang w:val="fr-BE"/>
        </w:rPr>
      </w:pPr>
    </w:p>
    <w:p w:rsidR="00EA1230" w:rsidRPr="00A866E7" w:rsidRDefault="00EA1230" w:rsidP="00A04E8D">
      <w:pPr>
        <w:spacing w:line="240" w:lineRule="auto"/>
        <w:jc w:val="left"/>
        <w:rPr>
          <w:rFonts w:ascii="Times New Roman" w:hAnsi="Times New Roman"/>
          <w:b/>
          <w:i/>
          <w:szCs w:val="24"/>
          <w:u w:val="single"/>
          <w:lang w:val="en-IE"/>
        </w:rPr>
      </w:pPr>
      <w:r w:rsidRPr="00A866E7">
        <w:rPr>
          <w:rFonts w:ascii="Times New Roman" w:hAnsi="Times New Roman"/>
          <w:b/>
          <w:i/>
          <w:szCs w:val="24"/>
          <w:u w:val="single"/>
          <w:lang w:val="en-IE"/>
        </w:rPr>
        <w:t>Introduction</w:t>
      </w:r>
    </w:p>
    <w:p w:rsidR="0029679F" w:rsidRPr="00A866E7" w:rsidRDefault="00CB2347" w:rsidP="0029679F">
      <w:pPr>
        <w:spacing w:line="240" w:lineRule="auto"/>
        <w:rPr>
          <w:rFonts w:ascii="Times New Roman" w:hAnsi="Times New Roman"/>
          <w:b/>
          <w:i/>
          <w:szCs w:val="24"/>
          <w:lang w:val="en-IE"/>
        </w:rPr>
      </w:pPr>
      <w:r w:rsidRPr="00A866E7">
        <w:rPr>
          <w:rFonts w:ascii="Times New Roman" w:hAnsi="Times New Roman"/>
          <w:szCs w:val="24"/>
          <w:lang w:val="en-IE"/>
        </w:rPr>
        <w:t xml:space="preserve">The </w:t>
      </w:r>
      <w:r w:rsidR="00431631" w:rsidRPr="00A866E7">
        <w:rPr>
          <w:rFonts w:ascii="Times New Roman" w:hAnsi="Times New Roman"/>
          <w:szCs w:val="24"/>
          <w:lang w:val="en-IE"/>
        </w:rPr>
        <w:t>nature and intensity of social dialogue in Ireland has changed considerably over the past four decades.  This is evident in the changing set of participants, the changing nature of government engagement</w:t>
      </w:r>
      <w:r w:rsidR="0029679F" w:rsidRPr="00A866E7">
        <w:rPr>
          <w:rFonts w:ascii="Times New Roman" w:hAnsi="Times New Roman"/>
          <w:szCs w:val="24"/>
          <w:lang w:val="en-IE"/>
        </w:rPr>
        <w:t xml:space="preserve">, </w:t>
      </w:r>
      <w:r w:rsidR="00431631" w:rsidRPr="00A866E7">
        <w:rPr>
          <w:rFonts w:ascii="Times New Roman" w:hAnsi="Times New Roman"/>
          <w:szCs w:val="24"/>
          <w:lang w:val="en-IE"/>
        </w:rPr>
        <w:t>the changing scope of the economic, social and environmental issues addressed</w:t>
      </w:r>
      <w:r w:rsidR="0029679F" w:rsidRPr="00A866E7">
        <w:rPr>
          <w:rFonts w:ascii="Times New Roman" w:hAnsi="Times New Roman"/>
          <w:szCs w:val="24"/>
          <w:lang w:val="en-IE"/>
        </w:rPr>
        <w:t xml:space="preserve"> and the changing role of the National Economic and Social Council (NESC).  </w:t>
      </w:r>
    </w:p>
    <w:p w:rsidR="00A866E7" w:rsidRDefault="00A866E7" w:rsidP="00A04E8D">
      <w:pPr>
        <w:spacing w:line="240" w:lineRule="auto"/>
        <w:rPr>
          <w:rFonts w:ascii="Times New Roman" w:hAnsi="Times New Roman"/>
          <w:b/>
          <w:i/>
          <w:szCs w:val="24"/>
          <w:u w:val="single"/>
          <w:lang w:val="en-IE"/>
        </w:rPr>
      </w:pPr>
    </w:p>
    <w:p w:rsidR="00EA1230" w:rsidRPr="00A866E7" w:rsidRDefault="00EA1230" w:rsidP="00A04E8D">
      <w:pPr>
        <w:spacing w:line="240" w:lineRule="auto"/>
        <w:rPr>
          <w:rFonts w:ascii="Times New Roman" w:hAnsi="Times New Roman"/>
          <w:b/>
          <w:i/>
          <w:szCs w:val="24"/>
          <w:u w:val="single"/>
          <w:lang w:val="en-IE"/>
        </w:rPr>
      </w:pPr>
      <w:r w:rsidRPr="00A866E7">
        <w:rPr>
          <w:rFonts w:ascii="Times New Roman" w:hAnsi="Times New Roman"/>
          <w:b/>
          <w:i/>
          <w:szCs w:val="24"/>
          <w:u w:val="single"/>
          <w:lang w:val="en-IE"/>
        </w:rPr>
        <w:t>History</w:t>
      </w:r>
    </w:p>
    <w:p w:rsidR="0029679F" w:rsidRPr="00A866E7" w:rsidRDefault="0029679F" w:rsidP="0029679F">
      <w:pPr>
        <w:spacing w:line="240" w:lineRule="auto"/>
        <w:rPr>
          <w:rFonts w:ascii="Times New Roman" w:hAnsi="Times New Roman"/>
          <w:szCs w:val="24"/>
          <w:lang w:val="en-IE"/>
        </w:rPr>
      </w:pPr>
      <w:r w:rsidRPr="00A866E7">
        <w:rPr>
          <w:rFonts w:ascii="Times New Roman" w:hAnsi="Times New Roman"/>
          <w:szCs w:val="24"/>
          <w:lang w:val="en-IE"/>
        </w:rPr>
        <w:t>Three broad phases in the history of social dialogue can be identified:</w:t>
      </w:r>
    </w:p>
    <w:p w:rsidR="0029679F" w:rsidRPr="00A866E7" w:rsidRDefault="0029679F" w:rsidP="0029679F">
      <w:pPr>
        <w:spacing w:line="240" w:lineRule="auto"/>
        <w:ind w:left="720"/>
        <w:rPr>
          <w:rFonts w:ascii="Times New Roman" w:hAnsi="Times New Roman"/>
          <w:szCs w:val="24"/>
          <w:lang w:val="en-IE"/>
        </w:rPr>
      </w:pPr>
      <w:r w:rsidRPr="00A866E7">
        <w:rPr>
          <w:rFonts w:ascii="Times New Roman" w:hAnsi="Times New Roman"/>
          <w:b/>
          <w:szCs w:val="24"/>
          <w:lang w:val="en-IE"/>
        </w:rPr>
        <w:t>From 1960 to 1987:</w:t>
      </w:r>
      <w:r w:rsidRPr="00A866E7">
        <w:rPr>
          <w:rFonts w:ascii="Times New Roman" w:hAnsi="Times New Roman"/>
          <w:szCs w:val="24"/>
          <w:lang w:val="en-IE"/>
        </w:rPr>
        <w:t xml:space="preserve"> the creation of social dialogue and the struggle to achieve a disciplined system of wage bargaining and industrial relations;</w:t>
      </w:r>
    </w:p>
    <w:p w:rsidR="0029679F" w:rsidRPr="00A866E7" w:rsidRDefault="0029679F" w:rsidP="0029679F">
      <w:pPr>
        <w:spacing w:line="240" w:lineRule="auto"/>
        <w:ind w:left="720"/>
        <w:rPr>
          <w:rFonts w:ascii="Times New Roman" w:hAnsi="Times New Roman"/>
          <w:szCs w:val="24"/>
          <w:lang w:val="en-IE"/>
        </w:rPr>
      </w:pPr>
      <w:r w:rsidRPr="00A866E7">
        <w:rPr>
          <w:rFonts w:ascii="Times New Roman" w:hAnsi="Times New Roman"/>
          <w:b/>
          <w:szCs w:val="24"/>
          <w:lang w:val="en-IE"/>
        </w:rPr>
        <w:t>From 1987 to 2008:</w:t>
      </w:r>
      <w:r w:rsidRPr="00A866E7">
        <w:rPr>
          <w:rFonts w:ascii="Times New Roman" w:hAnsi="Times New Roman"/>
          <w:szCs w:val="24"/>
          <w:lang w:val="en-IE"/>
        </w:rPr>
        <w:t xml:space="preserve"> a period of social partnership in which social dialogue was central to government strategy and national development; and</w:t>
      </w:r>
    </w:p>
    <w:p w:rsidR="0029679F" w:rsidRPr="00A866E7" w:rsidRDefault="0029679F" w:rsidP="0029679F">
      <w:pPr>
        <w:spacing w:line="240" w:lineRule="auto"/>
        <w:ind w:left="720"/>
        <w:rPr>
          <w:rFonts w:ascii="Times New Roman" w:hAnsi="Times New Roman"/>
          <w:szCs w:val="24"/>
          <w:lang w:val="en-IE"/>
        </w:rPr>
      </w:pPr>
      <w:r w:rsidRPr="00A866E7">
        <w:rPr>
          <w:rFonts w:ascii="Times New Roman" w:hAnsi="Times New Roman"/>
          <w:b/>
          <w:szCs w:val="24"/>
          <w:lang w:val="en-IE"/>
        </w:rPr>
        <w:t>From 2009 to the present:</w:t>
      </w:r>
      <w:r w:rsidRPr="00A866E7">
        <w:rPr>
          <w:rFonts w:ascii="Times New Roman" w:hAnsi="Times New Roman"/>
          <w:szCs w:val="24"/>
          <w:lang w:val="en-IE"/>
        </w:rPr>
        <w:t xml:space="preserve"> a period of severe fiscal, banking and economic crisis in which social dialogue plays a marginal role in the overall </w:t>
      </w:r>
      <w:r w:rsidR="004A1CC3" w:rsidRPr="00A866E7">
        <w:rPr>
          <w:rFonts w:ascii="Times New Roman" w:hAnsi="Times New Roman"/>
          <w:szCs w:val="24"/>
          <w:lang w:val="en-IE"/>
        </w:rPr>
        <w:t xml:space="preserve">policy </w:t>
      </w:r>
      <w:r w:rsidRPr="00A866E7">
        <w:rPr>
          <w:rFonts w:ascii="Times New Roman" w:hAnsi="Times New Roman"/>
          <w:szCs w:val="24"/>
          <w:lang w:val="en-IE"/>
        </w:rPr>
        <w:t xml:space="preserve">process and public governance. </w:t>
      </w:r>
    </w:p>
    <w:p w:rsidR="00DB41F4" w:rsidRPr="00A866E7" w:rsidRDefault="00CB2347" w:rsidP="00A04E8D">
      <w:pPr>
        <w:spacing w:line="240" w:lineRule="auto"/>
        <w:rPr>
          <w:rFonts w:ascii="Times New Roman" w:hAnsi="Times New Roman"/>
          <w:szCs w:val="24"/>
          <w:lang w:val="en-IE"/>
        </w:rPr>
      </w:pPr>
      <w:r w:rsidRPr="00A866E7">
        <w:rPr>
          <w:rFonts w:ascii="Times New Roman" w:hAnsi="Times New Roman"/>
          <w:szCs w:val="24"/>
          <w:lang w:val="en-IE"/>
        </w:rPr>
        <w:t>Ireland, which achieved independence from Britain in 1922, inherited its voluntarist and adversarial system of industrial relations.  After several decades of economic protection, Ireland changed economic strategy in the</w:t>
      </w:r>
      <w:r w:rsidR="00084D99" w:rsidRPr="00A866E7">
        <w:rPr>
          <w:rFonts w:ascii="Times New Roman" w:hAnsi="Times New Roman"/>
          <w:szCs w:val="24"/>
          <w:lang w:val="en-IE"/>
        </w:rPr>
        <w:t xml:space="preserve"> early</w:t>
      </w:r>
      <w:r w:rsidRPr="00A866E7">
        <w:rPr>
          <w:rFonts w:ascii="Times New Roman" w:hAnsi="Times New Roman"/>
          <w:szCs w:val="24"/>
          <w:lang w:val="en-IE"/>
        </w:rPr>
        <w:t xml:space="preserve"> 1960s, aiming to achieve industrialisation through an open economy</w:t>
      </w:r>
      <w:r w:rsidR="0029679F" w:rsidRPr="00A866E7">
        <w:rPr>
          <w:rFonts w:ascii="Times New Roman" w:hAnsi="Times New Roman"/>
          <w:szCs w:val="24"/>
          <w:lang w:val="en-IE"/>
        </w:rPr>
        <w:t xml:space="preserve"> </w:t>
      </w:r>
      <w:r w:rsidRPr="00A866E7">
        <w:rPr>
          <w:rFonts w:ascii="Times New Roman" w:hAnsi="Times New Roman"/>
          <w:szCs w:val="24"/>
          <w:lang w:val="en-IE"/>
        </w:rPr>
        <w:t xml:space="preserve">and investment in education and infrastructure.  </w:t>
      </w:r>
      <w:r w:rsidR="001C7180" w:rsidRPr="00A866E7">
        <w:rPr>
          <w:rFonts w:ascii="Times New Roman" w:hAnsi="Times New Roman"/>
          <w:szCs w:val="24"/>
          <w:lang w:val="en-IE"/>
        </w:rPr>
        <w:t xml:space="preserve">As a part of this modernisation strategy, the </w:t>
      </w:r>
      <w:r w:rsidR="009508FF" w:rsidRPr="00A866E7">
        <w:rPr>
          <w:rFonts w:ascii="Times New Roman" w:hAnsi="Times New Roman"/>
          <w:szCs w:val="24"/>
          <w:lang w:val="en-IE"/>
        </w:rPr>
        <w:t xml:space="preserve">state </w:t>
      </w:r>
      <w:r w:rsidR="001C7180" w:rsidRPr="00A866E7">
        <w:rPr>
          <w:rFonts w:ascii="Times New Roman" w:hAnsi="Times New Roman"/>
          <w:szCs w:val="24"/>
          <w:lang w:val="en-IE"/>
        </w:rPr>
        <w:t>created a range of institutions including several in which employers and trade unions were involved (</w:t>
      </w:r>
      <w:r w:rsidR="009508FF" w:rsidRPr="00A866E7">
        <w:rPr>
          <w:rFonts w:ascii="Times New Roman" w:hAnsi="Times New Roman"/>
          <w:szCs w:val="24"/>
          <w:lang w:val="en-IE"/>
        </w:rPr>
        <w:t xml:space="preserve">see discussion of NESC below).  Ireland’s progress </w:t>
      </w:r>
      <w:r w:rsidR="00F118A5" w:rsidRPr="00A866E7">
        <w:rPr>
          <w:rFonts w:ascii="Times New Roman" w:hAnsi="Times New Roman"/>
          <w:szCs w:val="24"/>
          <w:lang w:val="en-IE"/>
        </w:rPr>
        <w:t xml:space="preserve">in </w:t>
      </w:r>
      <w:r w:rsidR="009508FF" w:rsidRPr="00A866E7">
        <w:rPr>
          <w:rFonts w:ascii="Times New Roman" w:hAnsi="Times New Roman"/>
          <w:szCs w:val="24"/>
          <w:lang w:val="en-IE"/>
        </w:rPr>
        <w:t>the 1960s</w:t>
      </w:r>
      <w:r w:rsidR="00DB41F4" w:rsidRPr="00A866E7">
        <w:rPr>
          <w:rFonts w:ascii="Times New Roman" w:hAnsi="Times New Roman"/>
          <w:szCs w:val="24"/>
          <w:lang w:val="en-IE"/>
        </w:rPr>
        <w:t xml:space="preserve">, 1970s, and 1980s </w:t>
      </w:r>
      <w:r w:rsidR="009508FF" w:rsidRPr="00A866E7">
        <w:rPr>
          <w:rFonts w:ascii="Times New Roman" w:hAnsi="Times New Roman"/>
          <w:szCs w:val="24"/>
          <w:lang w:val="en-IE"/>
        </w:rPr>
        <w:t xml:space="preserve">was accompanied by high levels of industrial conflict and wage inflation.  During these decades, employers, unions and government </w:t>
      </w:r>
      <w:r w:rsidR="00DB41F4" w:rsidRPr="00A866E7">
        <w:rPr>
          <w:rFonts w:ascii="Times New Roman" w:hAnsi="Times New Roman"/>
          <w:szCs w:val="24"/>
          <w:lang w:val="en-IE"/>
        </w:rPr>
        <w:t xml:space="preserve">sought, through social dialogue, </w:t>
      </w:r>
      <w:r w:rsidR="009508FF" w:rsidRPr="00A866E7">
        <w:rPr>
          <w:rFonts w:ascii="Times New Roman" w:hAnsi="Times New Roman"/>
          <w:szCs w:val="24"/>
          <w:lang w:val="en-IE"/>
        </w:rPr>
        <w:t xml:space="preserve">to reform industrial relations through establishment of centralised </w:t>
      </w:r>
      <w:r w:rsidR="009508FF" w:rsidRPr="00A866E7">
        <w:rPr>
          <w:rFonts w:ascii="Times New Roman" w:hAnsi="Times New Roman"/>
          <w:szCs w:val="24"/>
          <w:lang w:val="en-IE"/>
        </w:rPr>
        <w:lastRenderedPageBreak/>
        <w:t>bargaining o</w:t>
      </w:r>
      <w:r w:rsidR="00675B1F" w:rsidRPr="00A866E7">
        <w:rPr>
          <w:rFonts w:ascii="Times New Roman" w:hAnsi="Times New Roman"/>
          <w:szCs w:val="24"/>
          <w:lang w:val="en-IE"/>
        </w:rPr>
        <w:t xml:space="preserve">r </w:t>
      </w:r>
      <w:r w:rsidR="009508FF" w:rsidRPr="00A866E7">
        <w:rPr>
          <w:rFonts w:ascii="Times New Roman" w:hAnsi="Times New Roman"/>
          <w:szCs w:val="24"/>
          <w:lang w:val="en-IE"/>
        </w:rPr>
        <w:t xml:space="preserve">wage norms.  These efforts were undermined by the both the macroeconomic context, the currency link with sterling, and prevailing </w:t>
      </w:r>
      <w:r w:rsidR="00F118A5" w:rsidRPr="00A866E7">
        <w:rPr>
          <w:rFonts w:ascii="Times New Roman" w:hAnsi="Times New Roman"/>
          <w:szCs w:val="24"/>
          <w:lang w:val="en-IE"/>
        </w:rPr>
        <w:t xml:space="preserve">attitudes and behaviour.  </w:t>
      </w:r>
    </w:p>
    <w:p w:rsidR="00F118A5" w:rsidRPr="00A866E7" w:rsidRDefault="00A60D87" w:rsidP="00A04E8D">
      <w:pPr>
        <w:spacing w:line="240" w:lineRule="auto"/>
        <w:rPr>
          <w:rFonts w:ascii="Times New Roman" w:hAnsi="Times New Roman"/>
          <w:szCs w:val="24"/>
          <w:lang w:val="en-IE"/>
        </w:rPr>
      </w:pPr>
      <w:r w:rsidRPr="00A866E7">
        <w:rPr>
          <w:rFonts w:ascii="Times New Roman" w:hAnsi="Times New Roman"/>
          <w:szCs w:val="24"/>
          <w:lang w:val="en-IE"/>
        </w:rPr>
        <w:t>After a prolong</w:t>
      </w:r>
      <w:r w:rsidR="00F118A5" w:rsidRPr="00A866E7">
        <w:rPr>
          <w:rFonts w:ascii="Times New Roman" w:hAnsi="Times New Roman"/>
          <w:szCs w:val="24"/>
          <w:lang w:val="en-IE"/>
        </w:rPr>
        <w:t xml:space="preserve">ed fiscal and economic crisis, the government, employers and unions entered a three-year ‘social partnership agreement’ for economic recovery in 1987.  </w:t>
      </w:r>
      <w:r w:rsidR="00131B4D" w:rsidRPr="00A866E7">
        <w:rPr>
          <w:rFonts w:ascii="Times New Roman" w:hAnsi="Times New Roman"/>
          <w:szCs w:val="24"/>
          <w:lang w:val="en-IE"/>
        </w:rPr>
        <w:t xml:space="preserve">This delivered the kind of wage discipline that had eluded the actors in earlier decades.  </w:t>
      </w:r>
      <w:r w:rsidR="00F118A5" w:rsidRPr="00A866E7">
        <w:rPr>
          <w:rFonts w:ascii="Times New Roman" w:hAnsi="Times New Roman"/>
          <w:szCs w:val="24"/>
          <w:lang w:val="en-IE"/>
        </w:rPr>
        <w:t>Th</w:t>
      </w:r>
      <w:r w:rsidR="00131B4D" w:rsidRPr="00A866E7">
        <w:rPr>
          <w:rFonts w:ascii="Times New Roman" w:hAnsi="Times New Roman"/>
          <w:szCs w:val="24"/>
          <w:lang w:val="en-IE"/>
        </w:rPr>
        <w:t xml:space="preserve">e </w:t>
      </w:r>
      <w:r w:rsidR="00F118A5" w:rsidRPr="00A866E7">
        <w:rPr>
          <w:rFonts w:ascii="Times New Roman" w:hAnsi="Times New Roman"/>
          <w:szCs w:val="24"/>
          <w:lang w:val="en-IE"/>
        </w:rPr>
        <w:t xml:space="preserve">pact, which was framed by discussion in the NESC, played a significant role in Ireland’s recovery; as a result, it was to be the first of eight three-year pacts that ran from 1987 to 2008.  The content of these agreements widened beyond wages to include a range of economic and social policies.  </w:t>
      </w:r>
      <w:r w:rsidR="00DB41F4" w:rsidRPr="00A866E7">
        <w:rPr>
          <w:rFonts w:ascii="Times New Roman" w:hAnsi="Times New Roman"/>
          <w:szCs w:val="24"/>
          <w:lang w:val="en-IE"/>
        </w:rPr>
        <w:t xml:space="preserve">The </w:t>
      </w:r>
      <w:r w:rsidR="00F24E42" w:rsidRPr="00A866E7">
        <w:rPr>
          <w:rFonts w:ascii="Times New Roman" w:hAnsi="Times New Roman"/>
          <w:szCs w:val="24"/>
          <w:lang w:val="en-IE"/>
        </w:rPr>
        <w:t xml:space="preserve">transposition of EU directives on employment relations and social rights, </w:t>
      </w:r>
      <w:r w:rsidR="00DB41F4" w:rsidRPr="00A866E7">
        <w:rPr>
          <w:rFonts w:ascii="Times New Roman" w:hAnsi="Times New Roman"/>
          <w:szCs w:val="24"/>
          <w:lang w:val="en-IE"/>
        </w:rPr>
        <w:t xml:space="preserve">conducted through social dialogue, </w:t>
      </w:r>
      <w:r w:rsidR="00F24E42" w:rsidRPr="00A866E7">
        <w:rPr>
          <w:rFonts w:ascii="Times New Roman" w:hAnsi="Times New Roman"/>
          <w:szCs w:val="24"/>
          <w:lang w:val="en-IE"/>
        </w:rPr>
        <w:t xml:space="preserve">had the effect of greatly increasing the legal content of Irish industrial relations.  </w:t>
      </w:r>
      <w:r w:rsidR="0033687A" w:rsidRPr="00A866E7">
        <w:rPr>
          <w:rFonts w:ascii="Times New Roman" w:hAnsi="Times New Roman"/>
          <w:szCs w:val="24"/>
          <w:lang w:val="en-IE"/>
        </w:rPr>
        <w:t>This twenty</w:t>
      </w:r>
      <w:r w:rsidR="00F118A5" w:rsidRPr="00A866E7">
        <w:rPr>
          <w:rFonts w:ascii="Times New Roman" w:hAnsi="Times New Roman"/>
          <w:szCs w:val="24"/>
          <w:lang w:val="en-IE"/>
        </w:rPr>
        <w:t xml:space="preserve"> year period of social partnership was one in which social dialogue </w:t>
      </w:r>
      <w:r w:rsidR="00675B1F" w:rsidRPr="00A866E7">
        <w:rPr>
          <w:rFonts w:ascii="Times New Roman" w:hAnsi="Times New Roman"/>
          <w:szCs w:val="24"/>
          <w:lang w:val="en-IE"/>
        </w:rPr>
        <w:t xml:space="preserve">in NESC and a wide </w:t>
      </w:r>
      <w:r w:rsidR="00F118A5" w:rsidRPr="00A866E7">
        <w:rPr>
          <w:rFonts w:ascii="Times New Roman" w:hAnsi="Times New Roman"/>
          <w:szCs w:val="24"/>
          <w:lang w:val="en-IE"/>
        </w:rPr>
        <w:t xml:space="preserve">range of </w:t>
      </w:r>
      <w:r w:rsidR="00675B1F" w:rsidRPr="00A866E7">
        <w:rPr>
          <w:rFonts w:ascii="Times New Roman" w:hAnsi="Times New Roman"/>
          <w:szCs w:val="24"/>
          <w:lang w:val="en-IE"/>
        </w:rPr>
        <w:t xml:space="preserve">other </w:t>
      </w:r>
      <w:r w:rsidR="00F118A5" w:rsidRPr="00A866E7">
        <w:rPr>
          <w:rFonts w:ascii="Times New Roman" w:hAnsi="Times New Roman"/>
          <w:szCs w:val="24"/>
          <w:lang w:val="en-IE"/>
        </w:rPr>
        <w:t>fora</w:t>
      </w:r>
      <w:r w:rsidR="00675B1F" w:rsidRPr="00A866E7">
        <w:rPr>
          <w:rFonts w:ascii="Times New Roman" w:hAnsi="Times New Roman"/>
          <w:szCs w:val="24"/>
          <w:lang w:val="en-IE"/>
        </w:rPr>
        <w:t xml:space="preserve"> was given high priority by government, unions, employers and ‘new social partners’ (see discussion of participants below).  </w:t>
      </w:r>
    </w:p>
    <w:p w:rsidR="00675B1F" w:rsidRPr="00A866E7" w:rsidRDefault="00675B1F" w:rsidP="00A04E8D">
      <w:pPr>
        <w:spacing w:line="240" w:lineRule="auto"/>
        <w:rPr>
          <w:rFonts w:ascii="Times New Roman" w:hAnsi="Times New Roman"/>
          <w:szCs w:val="24"/>
          <w:lang w:val="en-IE"/>
        </w:rPr>
      </w:pPr>
      <w:r w:rsidRPr="00A866E7">
        <w:rPr>
          <w:rFonts w:ascii="Times New Roman" w:hAnsi="Times New Roman"/>
          <w:szCs w:val="24"/>
          <w:lang w:val="en-IE"/>
        </w:rPr>
        <w:t xml:space="preserve">When crisis hit in 2008 efforts were made to find a partnership response.  </w:t>
      </w:r>
      <w:r w:rsidR="00DB41F4" w:rsidRPr="00A866E7">
        <w:rPr>
          <w:rFonts w:ascii="Times New Roman" w:hAnsi="Times New Roman"/>
          <w:szCs w:val="24"/>
          <w:lang w:val="en-IE"/>
        </w:rPr>
        <w:t>T</w:t>
      </w:r>
      <w:r w:rsidRPr="00A866E7">
        <w:rPr>
          <w:rFonts w:ascii="Times New Roman" w:hAnsi="Times New Roman"/>
          <w:szCs w:val="24"/>
          <w:lang w:val="en-IE"/>
        </w:rPr>
        <w:t xml:space="preserve">his proved impossible given the scale of the collapse in tax revenue and </w:t>
      </w:r>
      <w:r w:rsidR="00DB41F4" w:rsidRPr="00A866E7">
        <w:rPr>
          <w:rFonts w:ascii="Times New Roman" w:hAnsi="Times New Roman"/>
          <w:szCs w:val="24"/>
          <w:lang w:val="en-IE"/>
        </w:rPr>
        <w:t xml:space="preserve">pressure on </w:t>
      </w:r>
      <w:r w:rsidR="004A1CC3" w:rsidRPr="00A866E7">
        <w:rPr>
          <w:rFonts w:ascii="Times New Roman" w:hAnsi="Times New Roman"/>
          <w:szCs w:val="24"/>
          <w:lang w:val="en-IE"/>
        </w:rPr>
        <w:t xml:space="preserve">the </w:t>
      </w:r>
      <w:r w:rsidR="00DB41F4" w:rsidRPr="00A866E7">
        <w:rPr>
          <w:rFonts w:ascii="Times New Roman" w:hAnsi="Times New Roman"/>
          <w:szCs w:val="24"/>
          <w:lang w:val="en-IE"/>
        </w:rPr>
        <w:t xml:space="preserve">pay and conditions of </w:t>
      </w:r>
      <w:r w:rsidRPr="00A866E7">
        <w:rPr>
          <w:rFonts w:ascii="Times New Roman" w:hAnsi="Times New Roman"/>
          <w:szCs w:val="24"/>
          <w:lang w:val="en-IE"/>
        </w:rPr>
        <w:t>public servants</w:t>
      </w:r>
      <w:r w:rsidR="00DB41F4" w:rsidRPr="00A866E7">
        <w:rPr>
          <w:rFonts w:ascii="Times New Roman" w:hAnsi="Times New Roman"/>
          <w:szCs w:val="24"/>
          <w:lang w:val="en-IE"/>
        </w:rPr>
        <w:t xml:space="preserve">.  </w:t>
      </w:r>
      <w:r w:rsidRPr="00A866E7">
        <w:rPr>
          <w:rFonts w:ascii="Times New Roman" w:hAnsi="Times New Roman"/>
          <w:szCs w:val="24"/>
          <w:lang w:val="en-IE"/>
        </w:rPr>
        <w:t xml:space="preserve">As a result, government acted unilaterally and, from 2010 </w:t>
      </w:r>
      <w:r w:rsidR="00BB77FE" w:rsidRPr="00A866E7">
        <w:rPr>
          <w:rFonts w:ascii="Times New Roman" w:hAnsi="Times New Roman"/>
          <w:szCs w:val="24"/>
          <w:lang w:val="en-IE"/>
        </w:rPr>
        <w:t>o</w:t>
      </w:r>
      <w:r w:rsidRPr="00A866E7">
        <w:rPr>
          <w:rFonts w:ascii="Times New Roman" w:hAnsi="Times New Roman"/>
          <w:szCs w:val="24"/>
          <w:lang w:val="en-IE"/>
        </w:rPr>
        <w:t>n, in close concert with those providing official funding</w:t>
      </w:r>
      <w:r w:rsidR="00F340E9" w:rsidRPr="00A866E7">
        <w:rPr>
          <w:rFonts w:ascii="Times New Roman" w:hAnsi="Times New Roman"/>
          <w:szCs w:val="24"/>
          <w:lang w:val="en-IE"/>
        </w:rPr>
        <w:t xml:space="preserve"> to Ireland</w:t>
      </w:r>
      <w:r w:rsidRPr="00A866E7">
        <w:rPr>
          <w:rFonts w:ascii="Times New Roman" w:hAnsi="Times New Roman"/>
          <w:szCs w:val="24"/>
          <w:lang w:val="en-IE"/>
        </w:rPr>
        <w:t xml:space="preserve">, the IMF, ECB and European Commission.  Some of the machinery of social dialogue was </w:t>
      </w:r>
      <w:r w:rsidR="00A60D87" w:rsidRPr="00A866E7">
        <w:rPr>
          <w:rFonts w:ascii="Times New Roman" w:hAnsi="Times New Roman"/>
          <w:szCs w:val="24"/>
          <w:lang w:val="en-IE"/>
        </w:rPr>
        <w:t>dismantled and the remaining elements, such as NESC, were less central in the policy process.  However, in 20</w:t>
      </w:r>
      <w:r w:rsidR="00DB41F4" w:rsidRPr="00A866E7">
        <w:rPr>
          <w:rFonts w:ascii="Times New Roman" w:hAnsi="Times New Roman"/>
          <w:szCs w:val="24"/>
          <w:lang w:val="en-IE"/>
        </w:rPr>
        <w:t>10</w:t>
      </w:r>
      <w:r w:rsidR="00A60D87" w:rsidRPr="00A866E7">
        <w:rPr>
          <w:rFonts w:ascii="Times New Roman" w:hAnsi="Times New Roman"/>
          <w:szCs w:val="24"/>
          <w:lang w:val="en-IE"/>
        </w:rPr>
        <w:t>, and again in 2013, government entered agreements with the public sector trade unions, providing for cooperation with public sector reform</w:t>
      </w:r>
      <w:r w:rsidR="00BB77FE" w:rsidRPr="00A866E7">
        <w:rPr>
          <w:rFonts w:ascii="Times New Roman" w:hAnsi="Times New Roman"/>
          <w:szCs w:val="24"/>
          <w:lang w:val="en-IE"/>
        </w:rPr>
        <w:t xml:space="preserve"> and</w:t>
      </w:r>
      <w:r w:rsidR="00A60D87" w:rsidRPr="00A866E7">
        <w:rPr>
          <w:rFonts w:ascii="Times New Roman" w:hAnsi="Times New Roman"/>
          <w:szCs w:val="24"/>
          <w:lang w:val="en-IE"/>
        </w:rPr>
        <w:t xml:space="preserve">, in the recent agreement, further reductions in public salaries.  </w:t>
      </w:r>
    </w:p>
    <w:p w:rsidR="00A866E7" w:rsidRDefault="00A866E7" w:rsidP="00A04E8D">
      <w:pPr>
        <w:spacing w:line="240" w:lineRule="auto"/>
        <w:rPr>
          <w:rFonts w:ascii="Times New Roman" w:hAnsi="Times New Roman"/>
          <w:b/>
          <w:i/>
          <w:szCs w:val="24"/>
          <w:lang w:val="en-IE"/>
        </w:rPr>
      </w:pPr>
    </w:p>
    <w:p w:rsidR="00EA1230" w:rsidRPr="00A866E7" w:rsidRDefault="00EA1230" w:rsidP="00A04E8D">
      <w:pPr>
        <w:spacing w:line="240" w:lineRule="auto"/>
        <w:rPr>
          <w:rFonts w:ascii="Times New Roman" w:hAnsi="Times New Roman"/>
          <w:b/>
          <w:i/>
          <w:szCs w:val="24"/>
          <w:u w:val="single"/>
          <w:lang w:val="en-IE"/>
        </w:rPr>
      </w:pPr>
      <w:r w:rsidRPr="00A866E7">
        <w:rPr>
          <w:rFonts w:ascii="Times New Roman" w:hAnsi="Times New Roman"/>
          <w:b/>
          <w:i/>
          <w:szCs w:val="24"/>
          <w:u w:val="single"/>
          <w:lang w:val="en-IE"/>
        </w:rPr>
        <w:t>Participants</w:t>
      </w:r>
    </w:p>
    <w:p w:rsidR="00EA1230" w:rsidRPr="00A866E7" w:rsidRDefault="00A60D87" w:rsidP="00A04E8D">
      <w:pPr>
        <w:spacing w:line="240" w:lineRule="auto"/>
        <w:rPr>
          <w:rFonts w:ascii="Times New Roman" w:hAnsi="Times New Roman"/>
          <w:szCs w:val="24"/>
          <w:lang w:val="en-IE"/>
        </w:rPr>
      </w:pPr>
      <w:r w:rsidRPr="00A866E7">
        <w:rPr>
          <w:rFonts w:ascii="Times New Roman" w:hAnsi="Times New Roman"/>
          <w:szCs w:val="24"/>
          <w:lang w:val="en-IE"/>
        </w:rPr>
        <w:t>Participation in social dialogue widened considerably over the decades.  In the 1960s and 1970s, the main participants were the trade unions (organised in a single federation</w:t>
      </w:r>
      <w:r w:rsidR="00DB41F4" w:rsidRPr="00A866E7">
        <w:rPr>
          <w:rFonts w:ascii="Times New Roman" w:hAnsi="Times New Roman"/>
          <w:szCs w:val="24"/>
          <w:lang w:val="en-IE"/>
        </w:rPr>
        <w:t>,</w:t>
      </w:r>
      <w:r w:rsidRPr="00A866E7">
        <w:rPr>
          <w:rFonts w:ascii="Times New Roman" w:hAnsi="Times New Roman"/>
          <w:szCs w:val="24"/>
          <w:lang w:val="en-IE"/>
        </w:rPr>
        <w:t xml:space="preserve"> the Irish Congress of Trade Unions</w:t>
      </w:r>
      <w:r w:rsidR="00DB41F4" w:rsidRPr="00A866E7">
        <w:rPr>
          <w:rFonts w:ascii="Times New Roman" w:hAnsi="Times New Roman"/>
          <w:szCs w:val="24"/>
          <w:lang w:val="en-IE"/>
        </w:rPr>
        <w:t>)</w:t>
      </w:r>
      <w:r w:rsidRPr="00A866E7">
        <w:rPr>
          <w:rFonts w:ascii="Times New Roman" w:hAnsi="Times New Roman"/>
          <w:szCs w:val="24"/>
          <w:lang w:val="en-IE"/>
        </w:rPr>
        <w:t xml:space="preserve">, and the employers (mainly organised in two federations, which later merged to form the Irish Business and Employers Confederation).  As </w:t>
      </w:r>
      <w:r w:rsidR="00DB41F4" w:rsidRPr="00A866E7">
        <w:rPr>
          <w:rFonts w:ascii="Times New Roman" w:hAnsi="Times New Roman"/>
          <w:szCs w:val="24"/>
          <w:lang w:val="en-IE"/>
        </w:rPr>
        <w:t xml:space="preserve">the institutions of </w:t>
      </w:r>
      <w:r w:rsidRPr="00A866E7">
        <w:rPr>
          <w:rFonts w:ascii="Times New Roman" w:hAnsi="Times New Roman"/>
          <w:szCs w:val="24"/>
          <w:lang w:val="en-IE"/>
        </w:rPr>
        <w:t>social dialogue were created and developed (see below), a range of social NGOs were invited into the process in the mid 1990s.  These groups, organised in the Community and Voluntary Pillar, were a party to the social partnership agreement</w:t>
      </w:r>
      <w:r w:rsidR="00BB77FE" w:rsidRPr="00A866E7">
        <w:rPr>
          <w:rFonts w:ascii="Times New Roman" w:hAnsi="Times New Roman"/>
          <w:szCs w:val="24"/>
          <w:lang w:val="en-IE"/>
        </w:rPr>
        <w:t>s</w:t>
      </w:r>
      <w:r w:rsidRPr="00A866E7">
        <w:rPr>
          <w:rFonts w:ascii="Times New Roman" w:hAnsi="Times New Roman"/>
          <w:szCs w:val="24"/>
          <w:lang w:val="en-IE"/>
        </w:rPr>
        <w:t xml:space="preserve"> from th</w:t>
      </w:r>
      <w:r w:rsidR="00F24E42" w:rsidRPr="00A866E7">
        <w:rPr>
          <w:rFonts w:ascii="Times New Roman" w:hAnsi="Times New Roman"/>
          <w:szCs w:val="24"/>
          <w:lang w:val="en-IE"/>
        </w:rPr>
        <w:t>at time until 2008</w:t>
      </w:r>
      <w:r w:rsidRPr="00A866E7">
        <w:rPr>
          <w:rFonts w:ascii="Times New Roman" w:hAnsi="Times New Roman"/>
          <w:szCs w:val="24"/>
          <w:lang w:val="en-IE"/>
        </w:rPr>
        <w:t xml:space="preserve">.  </w:t>
      </w:r>
    </w:p>
    <w:p w:rsidR="00A866E7" w:rsidRDefault="00A866E7" w:rsidP="00A04E8D">
      <w:pPr>
        <w:spacing w:line="240" w:lineRule="auto"/>
        <w:jc w:val="left"/>
        <w:rPr>
          <w:rFonts w:ascii="Times New Roman" w:hAnsi="Times New Roman"/>
          <w:b/>
          <w:i/>
          <w:szCs w:val="24"/>
          <w:lang w:val="en-IE"/>
        </w:rPr>
      </w:pPr>
    </w:p>
    <w:p w:rsidR="00EA1230" w:rsidRPr="00A866E7" w:rsidRDefault="00EA1230" w:rsidP="00A04E8D">
      <w:pPr>
        <w:spacing w:line="240" w:lineRule="auto"/>
        <w:jc w:val="left"/>
        <w:rPr>
          <w:rFonts w:ascii="Times New Roman" w:hAnsi="Times New Roman"/>
          <w:b/>
          <w:i/>
          <w:szCs w:val="24"/>
          <w:u w:val="single"/>
          <w:lang w:val="en-IE"/>
        </w:rPr>
      </w:pPr>
      <w:r w:rsidRPr="00A866E7">
        <w:rPr>
          <w:rFonts w:ascii="Times New Roman" w:hAnsi="Times New Roman"/>
          <w:b/>
          <w:i/>
          <w:szCs w:val="24"/>
          <w:u w:val="single"/>
          <w:lang w:val="en-IE"/>
        </w:rPr>
        <w:t>Process</w:t>
      </w:r>
    </w:p>
    <w:p w:rsidR="006628AA" w:rsidRPr="00A866E7" w:rsidRDefault="006628AA" w:rsidP="00A04E8D">
      <w:pPr>
        <w:spacing w:line="240" w:lineRule="auto"/>
        <w:rPr>
          <w:rFonts w:ascii="Times New Roman" w:hAnsi="Times New Roman"/>
          <w:szCs w:val="24"/>
          <w:lang w:val="en-IE"/>
        </w:rPr>
      </w:pPr>
      <w:r w:rsidRPr="00A866E7">
        <w:rPr>
          <w:rFonts w:ascii="Times New Roman" w:hAnsi="Times New Roman"/>
          <w:szCs w:val="24"/>
          <w:lang w:val="en-IE"/>
        </w:rPr>
        <w:t xml:space="preserve">In the 20 year period of social partnership, </w:t>
      </w:r>
      <w:r w:rsidR="000B76C8" w:rsidRPr="00A866E7">
        <w:rPr>
          <w:rFonts w:ascii="Times New Roman" w:hAnsi="Times New Roman"/>
          <w:szCs w:val="24"/>
          <w:lang w:val="en-IE"/>
        </w:rPr>
        <w:t xml:space="preserve">from 1987 to 2008, </w:t>
      </w:r>
      <w:r w:rsidRPr="00A866E7">
        <w:rPr>
          <w:rFonts w:ascii="Times New Roman" w:hAnsi="Times New Roman"/>
          <w:szCs w:val="24"/>
          <w:lang w:val="en-IE"/>
        </w:rPr>
        <w:t xml:space="preserve">each three-year cycle began with discussion in NESC of the economic and social situation, leading to the agreement of a NESC ‘Strategy report’.  That report was the key input to negotiations between government and the partners, conducted in the </w:t>
      </w:r>
      <w:r w:rsidR="00BB77FE" w:rsidRPr="00A866E7">
        <w:rPr>
          <w:rFonts w:ascii="Times New Roman" w:hAnsi="Times New Roman"/>
          <w:szCs w:val="24"/>
          <w:lang w:val="en-IE"/>
        </w:rPr>
        <w:t>prime m</w:t>
      </w:r>
      <w:r w:rsidRPr="00A866E7">
        <w:rPr>
          <w:rFonts w:ascii="Times New Roman" w:hAnsi="Times New Roman"/>
          <w:szCs w:val="24"/>
          <w:lang w:val="en-IE"/>
        </w:rPr>
        <w:t>inister’s department.  Once a three-year pact was agreed, and ratified within each of the pillars, its implementation was monitored by a range of partnership committees, most of which met quarterly.  Special working groups</w:t>
      </w:r>
      <w:r w:rsidR="0033687A" w:rsidRPr="00A866E7">
        <w:rPr>
          <w:rFonts w:ascii="Times New Roman" w:hAnsi="Times New Roman"/>
          <w:szCs w:val="24"/>
        </w:rPr>
        <w:t>––</w:t>
      </w:r>
      <w:r w:rsidR="000B76C8" w:rsidRPr="00A866E7">
        <w:rPr>
          <w:rFonts w:ascii="Times New Roman" w:hAnsi="Times New Roman"/>
          <w:szCs w:val="24"/>
          <w:lang w:val="en-IE"/>
        </w:rPr>
        <w:t xml:space="preserve">some </w:t>
      </w:r>
      <w:r w:rsidRPr="00A866E7">
        <w:rPr>
          <w:rFonts w:ascii="Times New Roman" w:hAnsi="Times New Roman"/>
          <w:szCs w:val="24"/>
          <w:lang w:val="en-IE"/>
        </w:rPr>
        <w:t>involving only employers, unions and, often, government</w:t>
      </w:r>
      <w:r w:rsidR="0033687A" w:rsidRPr="00A866E7">
        <w:rPr>
          <w:rFonts w:ascii="Times New Roman" w:hAnsi="Times New Roman"/>
          <w:szCs w:val="24"/>
        </w:rPr>
        <w:t>––</w:t>
      </w:r>
      <w:r w:rsidRPr="00A866E7">
        <w:rPr>
          <w:rFonts w:ascii="Times New Roman" w:hAnsi="Times New Roman"/>
          <w:szCs w:val="24"/>
          <w:lang w:val="en-IE"/>
        </w:rPr>
        <w:t xml:space="preserve">were established to address particular issues, such as employment relations.  The industrial dispute resolution machinery worked in parallel, but the over-arching partnership agreement formed the benchmark against which many of its rulings were made.  </w:t>
      </w:r>
    </w:p>
    <w:p w:rsidR="00995F37" w:rsidRPr="00A866E7" w:rsidRDefault="00995F37" w:rsidP="00A04E8D">
      <w:pPr>
        <w:spacing w:line="240" w:lineRule="auto"/>
        <w:rPr>
          <w:rFonts w:ascii="Times New Roman" w:hAnsi="Times New Roman"/>
          <w:szCs w:val="24"/>
          <w:lang w:val="en-IE"/>
        </w:rPr>
      </w:pPr>
      <w:r w:rsidRPr="00A866E7">
        <w:rPr>
          <w:rFonts w:ascii="Times New Roman" w:hAnsi="Times New Roman"/>
          <w:szCs w:val="24"/>
          <w:lang w:val="en-IE"/>
        </w:rPr>
        <w:lastRenderedPageBreak/>
        <w:t>Since 2009, the social dialogue proce</w:t>
      </w:r>
      <w:r w:rsidR="000B76C8" w:rsidRPr="00A866E7">
        <w:rPr>
          <w:rFonts w:ascii="Times New Roman" w:hAnsi="Times New Roman"/>
          <w:szCs w:val="24"/>
          <w:lang w:val="en-IE"/>
        </w:rPr>
        <w:t xml:space="preserve">ss is much more limited.  </w:t>
      </w:r>
      <w:r w:rsidRPr="00A866E7">
        <w:rPr>
          <w:rFonts w:ascii="Times New Roman" w:hAnsi="Times New Roman"/>
          <w:szCs w:val="24"/>
          <w:lang w:val="en-IE"/>
        </w:rPr>
        <w:t xml:space="preserve">Without an over-arching social partnership agreement, the wide range of partnership committees and working groups ceased to exist.  On </w:t>
      </w:r>
      <w:r w:rsidR="00131B4D" w:rsidRPr="00A866E7">
        <w:rPr>
          <w:rFonts w:ascii="Times New Roman" w:hAnsi="Times New Roman"/>
          <w:szCs w:val="24"/>
          <w:lang w:val="en-IE"/>
        </w:rPr>
        <w:t xml:space="preserve">the main </w:t>
      </w:r>
      <w:r w:rsidRPr="00A866E7">
        <w:rPr>
          <w:rFonts w:ascii="Times New Roman" w:hAnsi="Times New Roman"/>
          <w:szCs w:val="24"/>
          <w:lang w:val="en-IE"/>
        </w:rPr>
        <w:t>crisis issues</w:t>
      </w:r>
      <w:r w:rsidR="0033687A" w:rsidRPr="00A866E7">
        <w:rPr>
          <w:rFonts w:ascii="Times New Roman" w:hAnsi="Times New Roman"/>
          <w:szCs w:val="24"/>
        </w:rPr>
        <w:t>––</w:t>
      </w:r>
      <w:r w:rsidR="00131B4D" w:rsidRPr="00A866E7">
        <w:rPr>
          <w:rFonts w:ascii="Times New Roman" w:hAnsi="Times New Roman"/>
          <w:szCs w:val="24"/>
          <w:lang w:val="en-IE"/>
        </w:rPr>
        <w:t>fiscal, bank rescue, competitiveness and the labour market</w:t>
      </w:r>
      <w:r w:rsidR="0033687A" w:rsidRPr="00A866E7">
        <w:rPr>
          <w:rFonts w:ascii="Times New Roman" w:hAnsi="Times New Roman"/>
          <w:szCs w:val="24"/>
        </w:rPr>
        <w:t>––</w:t>
      </w:r>
      <w:r w:rsidRPr="00A866E7">
        <w:rPr>
          <w:rFonts w:ascii="Times New Roman" w:hAnsi="Times New Roman"/>
          <w:szCs w:val="24"/>
          <w:lang w:val="en-IE"/>
        </w:rPr>
        <w:t xml:space="preserve">government </w:t>
      </w:r>
      <w:r w:rsidR="00131B4D" w:rsidRPr="00A866E7">
        <w:rPr>
          <w:rFonts w:ascii="Times New Roman" w:hAnsi="Times New Roman"/>
          <w:szCs w:val="24"/>
          <w:lang w:val="en-IE"/>
        </w:rPr>
        <w:t xml:space="preserve">has been </w:t>
      </w:r>
      <w:r w:rsidRPr="00A866E7">
        <w:rPr>
          <w:rFonts w:ascii="Times New Roman" w:hAnsi="Times New Roman"/>
          <w:szCs w:val="24"/>
          <w:lang w:val="en-IE"/>
        </w:rPr>
        <w:t xml:space="preserve">heavily engaged with the EU, ECB and IMF and far less with the domestic social partners.  Where such engagement occurs, it tends to be bilateral, rather than collective social dialogue.  In the past year, government is recreating a range of channels of engagement with non-state actors, on the food industry, </w:t>
      </w:r>
      <w:r w:rsidR="00286BDA" w:rsidRPr="00A866E7">
        <w:rPr>
          <w:rFonts w:ascii="Times New Roman" w:hAnsi="Times New Roman"/>
          <w:szCs w:val="24"/>
          <w:lang w:val="en-IE"/>
        </w:rPr>
        <w:t xml:space="preserve">enterprise development, </w:t>
      </w:r>
      <w:r w:rsidRPr="00A866E7">
        <w:rPr>
          <w:rFonts w:ascii="Times New Roman" w:hAnsi="Times New Roman"/>
          <w:szCs w:val="24"/>
          <w:lang w:val="en-IE"/>
        </w:rPr>
        <w:t>activation policy, the labour m</w:t>
      </w:r>
      <w:r w:rsidR="00286BDA" w:rsidRPr="00A866E7">
        <w:rPr>
          <w:rFonts w:ascii="Times New Roman" w:hAnsi="Times New Roman"/>
          <w:szCs w:val="24"/>
          <w:lang w:val="en-IE"/>
        </w:rPr>
        <w:t>arket and training.  Business representatives are prominent in many</w:t>
      </w:r>
      <w:r w:rsidR="00BB77FE" w:rsidRPr="00A866E7">
        <w:rPr>
          <w:rFonts w:ascii="Times New Roman" w:hAnsi="Times New Roman"/>
          <w:szCs w:val="24"/>
          <w:lang w:val="en-IE"/>
        </w:rPr>
        <w:t xml:space="preserve"> of these</w:t>
      </w:r>
      <w:r w:rsidR="000B76C8" w:rsidRPr="00A866E7">
        <w:rPr>
          <w:rFonts w:ascii="Times New Roman" w:hAnsi="Times New Roman"/>
          <w:szCs w:val="24"/>
          <w:lang w:val="en-IE"/>
        </w:rPr>
        <w:t xml:space="preserve">, but several do also involve representatives of trade unions and social and environmental NGOs.  </w:t>
      </w:r>
      <w:r w:rsidR="00BB77FE" w:rsidRPr="00A866E7">
        <w:rPr>
          <w:rFonts w:ascii="Times New Roman" w:hAnsi="Times New Roman"/>
          <w:szCs w:val="24"/>
          <w:lang w:val="en-IE"/>
        </w:rPr>
        <w:t xml:space="preserve">In preparation of its National Reform Programme, within the Europe 2020 Strategy, government consults bilaterally with each of the social partners. </w:t>
      </w:r>
    </w:p>
    <w:p w:rsidR="00A866E7" w:rsidRDefault="00A866E7" w:rsidP="00A04E8D">
      <w:pPr>
        <w:spacing w:line="240" w:lineRule="auto"/>
        <w:jc w:val="left"/>
        <w:rPr>
          <w:rFonts w:ascii="Times New Roman" w:hAnsi="Times New Roman"/>
          <w:b/>
          <w:szCs w:val="24"/>
          <w:lang w:val="en-IE"/>
        </w:rPr>
      </w:pPr>
    </w:p>
    <w:p w:rsidR="00EA1230" w:rsidRPr="00A866E7" w:rsidRDefault="00EA1230" w:rsidP="00A866E7">
      <w:pPr>
        <w:spacing w:line="240" w:lineRule="auto"/>
        <w:jc w:val="center"/>
        <w:rPr>
          <w:rFonts w:ascii="Times New Roman" w:hAnsi="Times New Roman"/>
          <w:b/>
          <w:sz w:val="40"/>
          <w:szCs w:val="40"/>
          <w:u w:val="single"/>
          <w:lang w:val="en-IE"/>
        </w:rPr>
      </w:pPr>
      <w:r w:rsidRPr="00A866E7">
        <w:rPr>
          <w:rFonts w:ascii="Times New Roman" w:hAnsi="Times New Roman"/>
          <w:b/>
          <w:sz w:val="40"/>
          <w:szCs w:val="40"/>
          <w:u w:val="single"/>
          <w:lang w:val="en-IE"/>
        </w:rPr>
        <w:t>The National Economic and Social Council</w:t>
      </w:r>
    </w:p>
    <w:p w:rsidR="00EA1230" w:rsidRPr="00A866E7" w:rsidRDefault="00EA1230" w:rsidP="00A04E8D">
      <w:pPr>
        <w:spacing w:line="240" w:lineRule="auto"/>
        <w:jc w:val="left"/>
        <w:rPr>
          <w:rFonts w:ascii="Times New Roman" w:hAnsi="Times New Roman"/>
          <w:b/>
          <w:i/>
          <w:szCs w:val="24"/>
          <w:u w:val="single"/>
          <w:lang w:val="en-IE"/>
        </w:rPr>
      </w:pPr>
      <w:r w:rsidRPr="00A866E7">
        <w:rPr>
          <w:rFonts w:ascii="Times New Roman" w:hAnsi="Times New Roman"/>
          <w:b/>
          <w:i/>
          <w:szCs w:val="24"/>
          <w:u w:val="single"/>
          <w:lang w:val="en-IE"/>
        </w:rPr>
        <w:t>Introduction</w:t>
      </w:r>
    </w:p>
    <w:p w:rsidR="00EA1230" w:rsidRPr="00A866E7" w:rsidRDefault="000B76C8" w:rsidP="00A04E8D">
      <w:pPr>
        <w:spacing w:line="240" w:lineRule="auto"/>
        <w:rPr>
          <w:rFonts w:ascii="Times New Roman" w:hAnsi="Times New Roman"/>
          <w:szCs w:val="24"/>
          <w:lang w:val="en-IE"/>
        </w:rPr>
      </w:pPr>
      <w:r w:rsidRPr="00A866E7">
        <w:rPr>
          <w:rFonts w:ascii="Times New Roman" w:hAnsi="Times New Roman"/>
          <w:szCs w:val="24"/>
          <w:lang w:val="en-IE"/>
        </w:rPr>
        <w:t>The NESC is a state body attached to the prime minister’s department.  Its role and membership have changed considerably over the 40 years of its existence</w:t>
      </w:r>
      <w:r w:rsidR="00131B4D" w:rsidRPr="00A866E7">
        <w:rPr>
          <w:rFonts w:ascii="Times New Roman" w:hAnsi="Times New Roman"/>
          <w:szCs w:val="24"/>
          <w:lang w:val="en-IE"/>
        </w:rPr>
        <w:t>, reflecting the three periods of social dialogue noted above</w:t>
      </w:r>
      <w:r w:rsidRPr="00A866E7">
        <w:rPr>
          <w:rFonts w:ascii="Times New Roman" w:hAnsi="Times New Roman"/>
          <w:szCs w:val="24"/>
          <w:lang w:val="en-IE"/>
        </w:rPr>
        <w:t xml:space="preserve">.  </w:t>
      </w:r>
    </w:p>
    <w:p w:rsidR="00A866E7" w:rsidRDefault="00A866E7" w:rsidP="00A04E8D">
      <w:pPr>
        <w:spacing w:line="240" w:lineRule="auto"/>
        <w:jc w:val="left"/>
        <w:rPr>
          <w:rFonts w:ascii="Times New Roman" w:hAnsi="Times New Roman"/>
          <w:b/>
          <w:i/>
          <w:szCs w:val="24"/>
          <w:lang w:val="en-IE"/>
        </w:rPr>
      </w:pPr>
    </w:p>
    <w:p w:rsidR="00EA1230" w:rsidRPr="00A866E7" w:rsidRDefault="00EA1230" w:rsidP="00A04E8D">
      <w:pPr>
        <w:spacing w:line="240" w:lineRule="auto"/>
        <w:jc w:val="left"/>
        <w:rPr>
          <w:rFonts w:ascii="Times New Roman" w:hAnsi="Times New Roman"/>
          <w:b/>
          <w:i/>
          <w:szCs w:val="24"/>
          <w:u w:val="single"/>
          <w:lang w:val="en-IE"/>
        </w:rPr>
      </w:pPr>
      <w:r w:rsidRPr="00A866E7">
        <w:rPr>
          <w:rFonts w:ascii="Times New Roman" w:hAnsi="Times New Roman"/>
          <w:b/>
          <w:i/>
          <w:szCs w:val="24"/>
          <w:u w:val="single"/>
          <w:lang w:val="en-IE"/>
        </w:rPr>
        <w:t>History</w:t>
      </w:r>
    </w:p>
    <w:p w:rsidR="00961894" w:rsidRPr="00A866E7" w:rsidRDefault="00CC1C23" w:rsidP="00A04E8D">
      <w:pPr>
        <w:spacing w:line="240" w:lineRule="auto"/>
        <w:rPr>
          <w:rFonts w:ascii="Times New Roman" w:hAnsi="Times New Roman"/>
          <w:szCs w:val="24"/>
          <w:lang w:val="en-IE"/>
        </w:rPr>
      </w:pPr>
      <w:r w:rsidRPr="00A866E7">
        <w:rPr>
          <w:rFonts w:ascii="Times New Roman" w:hAnsi="Times New Roman"/>
          <w:szCs w:val="24"/>
          <w:lang w:val="en-IE"/>
        </w:rPr>
        <w:t xml:space="preserve">In 1963, the government created the National Industrial Economic Council, to provide a forum in which employers, unions and government could discuss </w:t>
      </w:r>
      <w:r w:rsidR="00131B4D" w:rsidRPr="00A866E7">
        <w:rPr>
          <w:rFonts w:ascii="Times New Roman" w:hAnsi="Times New Roman"/>
          <w:szCs w:val="24"/>
          <w:lang w:val="en-IE"/>
        </w:rPr>
        <w:t xml:space="preserve">the </w:t>
      </w:r>
      <w:r w:rsidRPr="00A866E7">
        <w:rPr>
          <w:rFonts w:ascii="Times New Roman" w:hAnsi="Times New Roman"/>
          <w:szCs w:val="24"/>
          <w:lang w:val="en-IE"/>
        </w:rPr>
        <w:t xml:space="preserve">challenges of moving from protection to free trade.  </w:t>
      </w:r>
      <w:r w:rsidR="00131B4D" w:rsidRPr="00A866E7">
        <w:rPr>
          <w:rFonts w:ascii="Times New Roman" w:hAnsi="Times New Roman"/>
          <w:szCs w:val="24"/>
          <w:lang w:val="en-IE"/>
        </w:rPr>
        <w:t xml:space="preserve">In 1973, it was replaced by </w:t>
      </w:r>
      <w:r w:rsidR="00431631" w:rsidRPr="00A866E7">
        <w:rPr>
          <w:rFonts w:ascii="Times New Roman" w:hAnsi="Times New Roman"/>
          <w:szCs w:val="24"/>
          <w:lang w:val="en-IE"/>
        </w:rPr>
        <w:t>NESC</w:t>
      </w:r>
      <w:r w:rsidRPr="00A866E7">
        <w:rPr>
          <w:rFonts w:ascii="Times New Roman" w:hAnsi="Times New Roman"/>
          <w:szCs w:val="24"/>
          <w:lang w:val="en-IE"/>
        </w:rPr>
        <w:t xml:space="preserve">. </w:t>
      </w:r>
      <w:r w:rsidR="00F340E9" w:rsidRPr="00A866E7">
        <w:rPr>
          <w:rFonts w:ascii="Times New Roman" w:hAnsi="Times New Roman"/>
          <w:szCs w:val="24"/>
          <w:lang w:val="en-IE"/>
        </w:rPr>
        <w:t xml:space="preserve"> </w:t>
      </w:r>
      <w:r w:rsidRPr="00A866E7">
        <w:rPr>
          <w:rFonts w:ascii="Times New Roman" w:hAnsi="Times New Roman"/>
          <w:szCs w:val="24"/>
          <w:lang w:val="en-IE"/>
        </w:rPr>
        <w:t xml:space="preserve">Its role is to advise </w:t>
      </w:r>
      <w:r w:rsidR="00431631" w:rsidRPr="00A866E7">
        <w:rPr>
          <w:rFonts w:ascii="Times New Roman" w:hAnsi="Times New Roman"/>
          <w:szCs w:val="24"/>
          <w:lang w:val="en-IE"/>
        </w:rPr>
        <w:t xml:space="preserve">the </w:t>
      </w:r>
      <w:r w:rsidR="000B76C8" w:rsidRPr="00A866E7">
        <w:rPr>
          <w:rFonts w:ascii="Times New Roman" w:hAnsi="Times New Roman"/>
          <w:szCs w:val="24"/>
          <w:lang w:val="en-IE"/>
        </w:rPr>
        <w:t>p</w:t>
      </w:r>
      <w:r w:rsidR="00431631" w:rsidRPr="00A866E7">
        <w:rPr>
          <w:rFonts w:ascii="Times New Roman" w:hAnsi="Times New Roman"/>
          <w:szCs w:val="24"/>
          <w:lang w:val="en-IE"/>
        </w:rPr>
        <w:t xml:space="preserve">rime </w:t>
      </w:r>
      <w:r w:rsidR="000B76C8" w:rsidRPr="00A866E7">
        <w:rPr>
          <w:rFonts w:ascii="Times New Roman" w:hAnsi="Times New Roman"/>
          <w:szCs w:val="24"/>
          <w:lang w:val="en-IE"/>
        </w:rPr>
        <w:t>m</w:t>
      </w:r>
      <w:r w:rsidR="00431631" w:rsidRPr="00A866E7">
        <w:rPr>
          <w:rFonts w:ascii="Times New Roman" w:hAnsi="Times New Roman"/>
          <w:szCs w:val="24"/>
          <w:lang w:val="en-IE"/>
        </w:rPr>
        <w:t xml:space="preserve">inister on strategic issues </w:t>
      </w:r>
      <w:r w:rsidR="000B76C8" w:rsidRPr="00A866E7">
        <w:rPr>
          <w:rFonts w:ascii="Times New Roman" w:hAnsi="Times New Roman"/>
          <w:szCs w:val="24"/>
          <w:lang w:val="en-IE"/>
        </w:rPr>
        <w:t xml:space="preserve">of </w:t>
      </w:r>
      <w:r w:rsidR="00431631" w:rsidRPr="00A866E7">
        <w:rPr>
          <w:rFonts w:ascii="Times New Roman" w:hAnsi="Times New Roman"/>
          <w:szCs w:val="24"/>
          <w:lang w:val="en-IE"/>
        </w:rPr>
        <w:t xml:space="preserve">economic and social development.  </w:t>
      </w:r>
      <w:r w:rsidRPr="00A866E7">
        <w:rPr>
          <w:rFonts w:ascii="Times New Roman" w:hAnsi="Times New Roman"/>
          <w:szCs w:val="24"/>
          <w:lang w:val="en-IE"/>
        </w:rPr>
        <w:t xml:space="preserve">In </w:t>
      </w:r>
      <w:r w:rsidR="00204F0A" w:rsidRPr="00A866E7">
        <w:rPr>
          <w:rFonts w:ascii="Times New Roman" w:hAnsi="Times New Roman"/>
          <w:szCs w:val="24"/>
          <w:lang w:val="en-IE"/>
        </w:rPr>
        <w:t>its</w:t>
      </w:r>
      <w:r w:rsidRPr="00A866E7">
        <w:rPr>
          <w:rFonts w:ascii="Times New Roman" w:hAnsi="Times New Roman"/>
          <w:szCs w:val="24"/>
          <w:lang w:val="en-IE"/>
        </w:rPr>
        <w:t xml:space="preserve"> early years, </w:t>
      </w:r>
      <w:r w:rsidR="00893C53" w:rsidRPr="00A866E7">
        <w:rPr>
          <w:rFonts w:ascii="Times New Roman" w:hAnsi="Times New Roman"/>
          <w:szCs w:val="24"/>
          <w:lang w:val="en-IE"/>
        </w:rPr>
        <w:t>it w</w:t>
      </w:r>
      <w:r w:rsidRPr="00A866E7">
        <w:rPr>
          <w:rFonts w:ascii="Times New Roman" w:hAnsi="Times New Roman"/>
          <w:szCs w:val="24"/>
          <w:lang w:val="en-IE"/>
        </w:rPr>
        <w:t>as one of the few bodies undertaking strategic, long-term, analysis of Ireland’s position and problems</w:t>
      </w:r>
      <w:r w:rsidR="00084D99" w:rsidRPr="00A866E7">
        <w:rPr>
          <w:rFonts w:ascii="Times New Roman" w:hAnsi="Times New Roman"/>
          <w:szCs w:val="24"/>
          <w:lang w:val="en-IE"/>
        </w:rPr>
        <w:t xml:space="preserve"> (see below)</w:t>
      </w:r>
      <w:r w:rsidRPr="00A866E7">
        <w:rPr>
          <w:rFonts w:ascii="Times New Roman" w:hAnsi="Times New Roman"/>
          <w:szCs w:val="24"/>
          <w:lang w:val="en-IE"/>
        </w:rPr>
        <w:t xml:space="preserve">.  </w:t>
      </w:r>
      <w:r w:rsidR="000B76C8" w:rsidRPr="00A866E7">
        <w:rPr>
          <w:rFonts w:ascii="Times New Roman" w:hAnsi="Times New Roman"/>
          <w:szCs w:val="24"/>
          <w:lang w:val="en-IE"/>
        </w:rPr>
        <w:t xml:space="preserve">The role and prominence of the Council changed considerably in the late 1980s.  </w:t>
      </w:r>
      <w:r w:rsidR="00DB00E7" w:rsidRPr="00A866E7">
        <w:rPr>
          <w:rFonts w:ascii="Times New Roman" w:hAnsi="Times New Roman"/>
          <w:szCs w:val="24"/>
          <w:lang w:val="en-IE"/>
        </w:rPr>
        <w:t>From 1979 s</w:t>
      </w:r>
      <w:r w:rsidR="000B76C8" w:rsidRPr="00A866E7">
        <w:rPr>
          <w:rFonts w:ascii="Times New Roman" w:hAnsi="Times New Roman"/>
          <w:szCs w:val="24"/>
          <w:lang w:val="en-IE"/>
        </w:rPr>
        <w:t xml:space="preserve">uccessive governments failed to find an escape from a vicious circle of stagnation, rising taxes, and increasing debt.  In 1986, the </w:t>
      </w:r>
      <w:r w:rsidRPr="00A866E7">
        <w:rPr>
          <w:rFonts w:ascii="Times New Roman" w:hAnsi="Times New Roman"/>
          <w:szCs w:val="24"/>
          <w:lang w:val="en-IE"/>
        </w:rPr>
        <w:t xml:space="preserve">Council </w:t>
      </w:r>
      <w:r w:rsidR="000B76C8" w:rsidRPr="00A866E7">
        <w:rPr>
          <w:rFonts w:ascii="Times New Roman" w:hAnsi="Times New Roman"/>
          <w:szCs w:val="24"/>
          <w:lang w:val="en-IE"/>
        </w:rPr>
        <w:t xml:space="preserve">agreed an analysis which provided a basis on which </w:t>
      </w:r>
      <w:r w:rsidR="00DB00E7" w:rsidRPr="00A866E7">
        <w:rPr>
          <w:rFonts w:ascii="Times New Roman" w:hAnsi="Times New Roman"/>
          <w:szCs w:val="24"/>
          <w:lang w:val="en-IE"/>
        </w:rPr>
        <w:t xml:space="preserve">government and </w:t>
      </w:r>
      <w:r w:rsidRPr="00A866E7">
        <w:rPr>
          <w:rFonts w:ascii="Times New Roman" w:hAnsi="Times New Roman"/>
          <w:szCs w:val="24"/>
          <w:lang w:val="en-IE"/>
        </w:rPr>
        <w:t xml:space="preserve">the social partners negotiated </w:t>
      </w:r>
      <w:r w:rsidR="00DB00E7" w:rsidRPr="00A866E7">
        <w:rPr>
          <w:rFonts w:ascii="Times New Roman" w:hAnsi="Times New Roman"/>
          <w:szCs w:val="24"/>
          <w:lang w:val="en-IE"/>
        </w:rPr>
        <w:t xml:space="preserve">the first comprehensive </w:t>
      </w:r>
      <w:r w:rsidRPr="00A866E7">
        <w:rPr>
          <w:rFonts w:ascii="Times New Roman" w:hAnsi="Times New Roman"/>
          <w:szCs w:val="24"/>
          <w:lang w:val="en-IE"/>
        </w:rPr>
        <w:t>partnership agreement</w:t>
      </w:r>
      <w:r w:rsidR="00DB00E7" w:rsidRPr="00A866E7">
        <w:rPr>
          <w:rFonts w:ascii="Times New Roman" w:hAnsi="Times New Roman"/>
          <w:szCs w:val="24"/>
          <w:lang w:val="en-IE"/>
        </w:rPr>
        <w:t xml:space="preserve"> in 1987, as noted above.  </w:t>
      </w:r>
      <w:r w:rsidR="00961894" w:rsidRPr="00A866E7">
        <w:rPr>
          <w:rFonts w:ascii="Times New Roman" w:hAnsi="Times New Roman"/>
          <w:szCs w:val="24"/>
          <w:lang w:val="en-IE"/>
        </w:rPr>
        <w:t xml:space="preserve">This was the origin of a process in which NESC produced an over-arching strategic analysis every three years, which formed the basis of negotiation for each three-year partnership agreements.  </w:t>
      </w:r>
      <w:r w:rsidR="00893C53" w:rsidRPr="00A866E7">
        <w:rPr>
          <w:rFonts w:ascii="Times New Roman" w:hAnsi="Times New Roman"/>
          <w:szCs w:val="24"/>
          <w:lang w:val="en-IE"/>
        </w:rPr>
        <w:t xml:space="preserve">In addition, </w:t>
      </w:r>
      <w:r w:rsidR="00961894" w:rsidRPr="00A866E7">
        <w:rPr>
          <w:rFonts w:ascii="Times New Roman" w:hAnsi="Times New Roman"/>
          <w:szCs w:val="24"/>
          <w:lang w:val="en-IE"/>
        </w:rPr>
        <w:t xml:space="preserve">reports on employment, industry, social policy, education, rural development and public services were agreed and published.  In the mid-1990s, the membership of the Council widened to include social NGOs and, in 2011, to include an environmental pillar.  </w:t>
      </w:r>
    </w:p>
    <w:p w:rsidR="00A866E7" w:rsidRDefault="00A866E7" w:rsidP="00A04E8D">
      <w:pPr>
        <w:spacing w:line="240" w:lineRule="auto"/>
        <w:jc w:val="left"/>
        <w:rPr>
          <w:rFonts w:ascii="Times New Roman" w:hAnsi="Times New Roman"/>
          <w:b/>
          <w:i/>
          <w:szCs w:val="24"/>
          <w:lang w:val="en-IE"/>
        </w:rPr>
      </w:pPr>
    </w:p>
    <w:p w:rsidR="00EA1230" w:rsidRPr="00A866E7" w:rsidRDefault="00EA1230" w:rsidP="00A04E8D">
      <w:pPr>
        <w:spacing w:line="240" w:lineRule="auto"/>
        <w:jc w:val="left"/>
        <w:rPr>
          <w:rFonts w:ascii="Times New Roman" w:hAnsi="Times New Roman"/>
          <w:b/>
          <w:i/>
          <w:szCs w:val="24"/>
          <w:u w:val="single"/>
          <w:lang w:val="en-IE"/>
        </w:rPr>
      </w:pPr>
      <w:r w:rsidRPr="00A866E7">
        <w:rPr>
          <w:rFonts w:ascii="Times New Roman" w:hAnsi="Times New Roman"/>
          <w:b/>
          <w:i/>
          <w:szCs w:val="24"/>
          <w:u w:val="single"/>
          <w:lang w:val="en-IE"/>
        </w:rPr>
        <w:t xml:space="preserve">Structure </w:t>
      </w:r>
    </w:p>
    <w:p w:rsidR="00EA1230" w:rsidRPr="00A866E7" w:rsidRDefault="00DB00E7" w:rsidP="00A04E8D">
      <w:pPr>
        <w:spacing w:line="240" w:lineRule="auto"/>
        <w:rPr>
          <w:rFonts w:ascii="Times New Roman" w:hAnsi="Times New Roman"/>
          <w:b/>
          <w:szCs w:val="24"/>
          <w:lang w:val="en-IE"/>
        </w:rPr>
      </w:pPr>
      <w:r w:rsidRPr="00A866E7">
        <w:rPr>
          <w:rFonts w:ascii="Times New Roman" w:hAnsi="Times New Roman"/>
          <w:szCs w:val="24"/>
          <w:lang w:val="en-IE"/>
        </w:rPr>
        <w:t xml:space="preserve">The </w:t>
      </w:r>
      <w:r w:rsidR="00893C53" w:rsidRPr="00A866E7">
        <w:rPr>
          <w:rFonts w:ascii="Times New Roman" w:hAnsi="Times New Roman"/>
          <w:szCs w:val="24"/>
          <w:lang w:val="en-IE"/>
        </w:rPr>
        <w:t>C</w:t>
      </w:r>
      <w:r w:rsidRPr="00A866E7">
        <w:rPr>
          <w:rFonts w:ascii="Times New Roman" w:hAnsi="Times New Roman"/>
          <w:szCs w:val="24"/>
          <w:lang w:val="en-IE"/>
        </w:rPr>
        <w:t xml:space="preserve">ouncil is funded from the budget of the prime minister’s department and is chaired by the Secretary General of that </w:t>
      </w:r>
      <w:r w:rsidR="007C29C0" w:rsidRPr="00A866E7">
        <w:rPr>
          <w:rFonts w:ascii="Times New Roman" w:hAnsi="Times New Roman"/>
          <w:szCs w:val="24"/>
          <w:lang w:val="en-IE"/>
        </w:rPr>
        <w:t>d</w:t>
      </w:r>
      <w:r w:rsidRPr="00A866E7">
        <w:rPr>
          <w:rFonts w:ascii="Times New Roman" w:hAnsi="Times New Roman"/>
          <w:szCs w:val="24"/>
          <w:lang w:val="en-IE"/>
        </w:rPr>
        <w:t>epartment.  It has 33 members: a chair, deputy chair, four members from each of the five pillars (employers, trade unions, agricultural organ</w:t>
      </w:r>
      <w:r w:rsidR="007C29C0" w:rsidRPr="00A866E7">
        <w:rPr>
          <w:rFonts w:ascii="Times New Roman" w:hAnsi="Times New Roman"/>
          <w:szCs w:val="24"/>
          <w:lang w:val="en-IE"/>
        </w:rPr>
        <w:t>i</w:t>
      </w:r>
      <w:r w:rsidRPr="00A866E7">
        <w:rPr>
          <w:rFonts w:ascii="Times New Roman" w:hAnsi="Times New Roman"/>
          <w:szCs w:val="24"/>
          <w:lang w:val="en-IE"/>
        </w:rPr>
        <w:t xml:space="preserve">sations, community and voluntary pillar, and environmental pillar), four representatives of government departments (finance, industry, </w:t>
      </w:r>
      <w:r w:rsidR="007C29C0" w:rsidRPr="00A866E7">
        <w:rPr>
          <w:rFonts w:ascii="Times New Roman" w:hAnsi="Times New Roman"/>
          <w:szCs w:val="24"/>
          <w:lang w:val="en-IE"/>
        </w:rPr>
        <w:t xml:space="preserve">education and environment), and 8 independent </w:t>
      </w:r>
      <w:r w:rsidR="007C29C0" w:rsidRPr="00A866E7">
        <w:rPr>
          <w:rFonts w:ascii="Times New Roman" w:hAnsi="Times New Roman"/>
          <w:szCs w:val="24"/>
          <w:lang w:val="en-IE"/>
        </w:rPr>
        <w:lastRenderedPageBreak/>
        <w:t xml:space="preserve">experts.  </w:t>
      </w:r>
      <w:r w:rsidR="00CC1C23" w:rsidRPr="00A866E7">
        <w:rPr>
          <w:rFonts w:ascii="Times New Roman" w:hAnsi="Times New Roman"/>
          <w:szCs w:val="24"/>
          <w:lang w:val="en-IE"/>
        </w:rPr>
        <w:t xml:space="preserve">The members of the Council are appointed by the </w:t>
      </w:r>
      <w:r w:rsidR="007C29C0" w:rsidRPr="00A866E7">
        <w:rPr>
          <w:rFonts w:ascii="Times New Roman" w:hAnsi="Times New Roman"/>
          <w:szCs w:val="24"/>
          <w:lang w:val="en-IE"/>
        </w:rPr>
        <w:t xml:space="preserve">prime minister </w:t>
      </w:r>
      <w:r w:rsidR="00CC1C23" w:rsidRPr="00A866E7">
        <w:rPr>
          <w:rFonts w:ascii="Times New Roman" w:hAnsi="Times New Roman"/>
          <w:szCs w:val="24"/>
          <w:lang w:val="en-IE"/>
        </w:rPr>
        <w:t xml:space="preserve">for a three year term.  </w:t>
      </w:r>
      <w:r w:rsidR="007C29C0" w:rsidRPr="00A866E7">
        <w:rPr>
          <w:rFonts w:ascii="Times New Roman" w:hAnsi="Times New Roman"/>
          <w:szCs w:val="24"/>
          <w:lang w:val="en-IE"/>
        </w:rPr>
        <w:t>It meets once a month and conducts most of its work in plenary.  It does not have a role in providing opinions on draft legislation or day-to-day government decisions, focusing more on strategic issues and the principles which should guide policy.  It is serviced by a small Secretariat</w:t>
      </w:r>
      <w:r w:rsidR="00E94B4B" w:rsidRPr="00A866E7">
        <w:rPr>
          <w:rFonts w:ascii="Times New Roman" w:hAnsi="Times New Roman"/>
          <w:szCs w:val="24"/>
          <w:lang w:val="en-IE"/>
        </w:rPr>
        <w:t xml:space="preserve"> of four</w:t>
      </w:r>
      <w:r w:rsidR="00F340E9" w:rsidRPr="00A866E7">
        <w:rPr>
          <w:rFonts w:ascii="Times New Roman" w:hAnsi="Times New Roman"/>
          <w:szCs w:val="24"/>
          <w:lang w:val="en-IE"/>
        </w:rPr>
        <w:t xml:space="preserve"> </w:t>
      </w:r>
      <w:r w:rsidR="007C29C0" w:rsidRPr="00A866E7">
        <w:rPr>
          <w:rFonts w:ascii="Times New Roman" w:hAnsi="Times New Roman"/>
          <w:szCs w:val="24"/>
          <w:lang w:val="en-IE"/>
        </w:rPr>
        <w:t xml:space="preserve">economists and </w:t>
      </w:r>
      <w:r w:rsidR="00E94B4B" w:rsidRPr="00A866E7">
        <w:rPr>
          <w:rFonts w:ascii="Times New Roman" w:hAnsi="Times New Roman"/>
          <w:szCs w:val="24"/>
          <w:lang w:val="en-IE"/>
        </w:rPr>
        <w:t>three</w:t>
      </w:r>
      <w:r w:rsidR="00F340E9" w:rsidRPr="00A866E7">
        <w:rPr>
          <w:rFonts w:ascii="Times New Roman" w:hAnsi="Times New Roman"/>
          <w:szCs w:val="24"/>
          <w:lang w:val="en-IE"/>
        </w:rPr>
        <w:t xml:space="preserve"> </w:t>
      </w:r>
      <w:r w:rsidR="007C29C0" w:rsidRPr="00A866E7">
        <w:rPr>
          <w:rFonts w:ascii="Times New Roman" w:hAnsi="Times New Roman"/>
          <w:szCs w:val="24"/>
          <w:lang w:val="en-IE"/>
        </w:rPr>
        <w:t xml:space="preserve">social policy analysts.  These prepare papers which, when discussed and agreed, become Council reports to government, which are noted by Cabinet before being published.  </w:t>
      </w:r>
    </w:p>
    <w:p w:rsidR="00151955" w:rsidRPr="00A866E7" w:rsidRDefault="00A04E8D" w:rsidP="00A04E8D">
      <w:pPr>
        <w:spacing w:line="240" w:lineRule="auto"/>
        <w:rPr>
          <w:rFonts w:ascii="Times New Roman" w:hAnsi="Times New Roman"/>
          <w:szCs w:val="24"/>
          <w:lang w:val="en-IE"/>
        </w:rPr>
      </w:pPr>
      <w:r w:rsidRPr="00A866E7">
        <w:rPr>
          <w:rFonts w:ascii="Times New Roman" w:hAnsi="Times New Roman"/>
          <w:szCs w:val="24"/>
          <w:lang w:val="en-IE"/>
        </w:rPr>
        <w:t xml:space="preserve">During the period of social partnership, government established new social dialogue bodies, alongside NESC.  </w:t>
      </w:r>
      <w:r w:rsidR="00151955" w:rsidRPr="00A866E7">
        <w:rPr>
          <w:rFonts w:ascii="Times New Roman" w:hAnsi="Times New Roman"/>
          <w:szCs w:val="24"/>
          <w:lang w:val="en-IE"/>
        </w:rPr>
        <w:t xml:space="preserve">In 1993, prior to the inclusion of the social NGOs in NESC, the Government established the National Economic and Social Forum (NESF), </w:t>
      </w:r>
      <w:r w:rsidRPr="00A866E7">
        <w:rPr>
          <w:rFonts w:ascii="Times New Roman" w:hAnsi="Times New Roman"/>
          <w:szCs w:val="24"/>
          <w:lang w:val="en-IE"/>
        </w:rPr>
        <w:t xml:space="preserve">a social dialogue body </w:t>
      </w:r>
      <w:r w:rsidR="00151955" w:rsidRPr="00A866E7">
        <w:rPr>
          <w:rFonts w:ascii="Times New Roman" w:hAnsi="Times New Roman"/>
          <w:szCs w:val="24"/>
          <w:lang w:val="en-IE"/>
        </w:rPr>
        <w:t>which advised Government on long-term unemployment</w:t>
      </w:r>
      <w:r w:rsidRPr="00A866E7">
        <w:rPr>
          <w:rFonts w:ascii="Times New Roman" w:hAnsi="Times New Roman"/>
          <w:szCs w:val="24"/>
          <w:lang w:val="en-IE"/>
        </w:rPr>
        <w:t xml:space="preserve"> and issues </w:t>
      </w:r>
      <w:r w:rsidR="00204F0A">
        <w:rPr>
          <w:rFonts w:ascii="Times New Roman" w:hAnsi="Times New Roman"/>
          <w:szCs w:val="24"/>
          <w:lang w:val="en-IE"/>
        </w:rPr>
        <w:t>regarding</w:t>
      </w:r>
      <w:r w:rsidRPr="00A866E7">
        <w:rPr>
          <w:rFonts w:ascii="Times New Roman" w:hAnsi="Times New Roman"/>
          <w:szCs w:val="24"/>
          <w:lang w:val="en-IE"/>
        </w:rPr>
        <w:t xml:space="preserve"> </w:t>
      </w:r>
      <w:r w:rsidR="00151955" w:rsidRPr="00A866E7">
        <w:rPr>
          <w:rFonts w:ascii="Times New Roman" w:hAnsi="Times New Roman"/>
          <w:szCs w:val="24"/>
          <w:lang w:val="en-IE"/>
        </w:rPr>
        <w:t>equality and social inclusion</w:t>
      </w:r>
      <w:r w:rsidRPr="00A866E7">
        <w:rPr>
          <w:rFonts w:ascii="Times New Roman" w:hAnsi="Times New Roman"/>
          <w:szCs w:val="24"/>
          <w:lang w:val="en-IE"/>
        </w:rPr>
        <w:t xml:space="preserve">.  </w:t>
      </w:r>
      <w:r w:rsidR="00151955" w:rsidRPr="00A866E7">
        <w:rPr>
          <w:rFonts w:ascii="Times New Roman" w:hAnsi="Times New Roman"/>
          <w:szCs w:val="24"/>
          <w:lang w:val="en-IE"/>
        </w:rPr>
        <w:t xml:space="preserve">The National Centre for Partnership and Performance (NCPP) was </w:t>
      </w:r>
      <w:r w:rsidRPr="00A866E7">
        <w:rPr>
          <w:rFonts w:ascii="Times New Roman" w:hAnsi="Times New Roman"/>
          <w:szCs w:val="24"/>
          <w:lang w:val="en-IE"/>
        </w:rPr>
        <w:t>s</w:t>
      </w:r>
      <w:r w:rsidR="00151955" w:rsidRPr="00A866E7">
        <w:rPr>
          <w:rFonts w:ascii="Times New Roman" w:hAnsi="Times New Roman"/>
          <w:szCs w:val="24"/>
          <w:lang w:val="en-IE"/>
        </w:rPr>
        <w:t>et up in 2001, to monitor and promote partnership at enterprise and organisational level.  In 2010, the Government simplif</w:t>
      </w:r>
      <w:r w:rsidRPr="00A866E7">
        <w:rPr>
          <w:rFonts w:ascii="Times New Roman" w:hAnsi="Times New Roman"/>
          <w:szCs w:val="24"/>
          <w:lang w:val="en-IE"/>
        </w:rPr>
        <w:t xml:space="preserve">ied </w:t>
      </w:r>
      <w:r w:rsidR="00151955" w:rsidRPr="00A866E7">
        <w:rPr>
          <w:rFonts w:ascii="Times New Roman" w:hAnsi="Times New Roman"/>
          <w:szCs w:val="24"/>
          <w:lang w:val="en-IE"/>
        </w:rPr>
        <w:t xml:space="preserve">these social dialogue structures by closing the NESF and NCPP and moving the staff of these two bodies into NESC.  </w:t>
      </w:r>
    </w:p>
    <w:p w:rsidR="00A866E7" w:rsidRDefault="00A866E7" w:rsidP="00A04E8D">
      <w:pPr>
        <w:spacing w:line="240" w:lineRule="auto"/>
        <w:jc w:val="left"/>
        <w:rPr>
          <w:rFonts w:ascii="Times New Roman" w:hAnsi="Times New Roman"/>
          <w:b/>
          <w:i/>
          <w:szCs w:val="24"/>
          <w:lang w:val="en-IE"/>
        </w:rPr>
      </w:pPr>
    </w:p>
    <w:p w:rsidR="00EA1230" w:rsidRPr="00A866E7" w:rsidRDefault="00EA1230" w:rsidP="00A04E8D">
      <w:pPr>
        <w:spacing w:line="240" w:lineRule="auto"/>
        <w:jc w:val="left"/>
        <w:rPr>
          <w:rFonts w:ascii="Times New Roman" w:hAnsi="Times New Roman"/>
          <w:b/>
          <w:i/>
          <w:szCs w:val="24"/>
          <w:u w:val="single"/>
          <w:lang w:val="en-IE"/>
        </w:rPr>
      </w:pPr>
      <w:r w:rsidRPr="00A866E7">
        <w:rPr>
          <w:rFonts w:ascii="Times New Roman" w:hAnsi="Times New Roman"/>
          <w:b/>
          <w:i/>
          <w:szCs w:val="24"/>
          <w:u w:val="single"/>
          <w:lang w:val="en-IE"/>
        </w:rPr>
        <w:t>Work</w:t>
      </w:r>
    </w:p>
    <w:p w:rsidR="00F62E2E" w:rsidRPr="00A866E7" w:rsidRDefault="00961894" w:rsidP="00A04E8D">
      <w:pPr>
        <w:spacing w:line="240" w:lineRule="auto"/>
        <w:rPr>
          <w:rFonts w:ascii="Times New Roman" w:hAnsi="Times New Roman"/>
          <w:szCs w:val="24"/>
          <w:lang w:val="en-IE"/>
        </w:rPr>
      </w:pPr>
      <w:r w:rsidRPr="00A866E7">
        <w:rPr>
          <w:rFonts w:ascii="Times New Roman" w:hAnsi="Times New Roman"/>
          <w:szCs w:val="24"/>
          <w:lang w:val="en-IE"/>
        </w:rPr>
        <w:t xml:space="preserve">In its role in providing social dialogue on strategic issues NESC’s early work </w:t>
      </w:r>
      <w:r w:rsidR="00236EC3" w:rsidRPr="00A866E7">
        <w:rPr>
          <w:rFonts w:ascii="Times New Roman" w:hAnsi="Times New Roman"/>
          <w:szCs w:val="24"/>
          <w:lang w:val="en-IE"/>
        </w:rPr>
        <w:t>had a strong emphasis on the challenge of economic development in a small peripheral, previously agricultural, economy; in the early 1970s this was reflected in reports on the Irish economy, regional development, manpower, jobs and farming.  Reports on social policy, income distribution and housing followed in the mid-1970s, as well as publications on public expenditure and tax revenue.  In the early 1980s, NESC undertook a major review of Irish industrial policy, and agreed reports on Ireland’s experience in Europe</w:t>
      </w:r>
      <w:r w:rsidRPr="00A866E7">
        <w:rPr>
          <w:rFonts w:ascii="Times New Roman" w:hAnsi="Times New Roman"/>
          <w:szCs w:val="24"/>
          <w:lang w:val="en-IE"/>
        </w:rPr>
        <w:t xml:space="preserve"> and the challenges of the internal market and EMU</w:t>
      </w:r>
      <w:r w:rsidR="00236EC3" w:rsidRPr="00A866E7">
        <w:rPr>
          <w:rFonts w:ascii="Times New Roman" w:hAnsi="Times New Roman"/>
          <w:szCs w:val="24"/>
          <w:lang w:val="en-IE"/>
        </w:rPr>
        <w:t xml:space="preserve">. </w:t>
      </w:r>
      <w:r w:rsidRPr="00A866E7">
        <w:rPr>
          <w:rFonts w:ascii="Times New Roman" w:hAnsi="Times New Roman"/>
          <w:szCs w:val="24"/>
          <w:lang w:val="en-IE"/>
        </w:rPr>
        <w:t xml:space="preserve"> From 1987 to 2006, </w:t>
      </w:r>
      <w:r w:rsidR="00F62E2E" w:rsidRPr="00A866E7">
        <w:rPr>
          <w:rFonts w:ascii="Times New Roman" w:hAnsi="Times New Roman"/>
          <w:szCs w:val="24"/>
          <w:lang w:val="en-IE"/>
        </w:rPr>
        <w:t xml:space="preserve">the three-yearly ‘Strategy’ reports were a major part of NESC’s work.  NESC’s 2005 report, the </w:t>
      </w:r>
      <w:r w:rsidR="00F62E2E" w:rsidRPr="00A866E7">
        <w:rPr>
          <w:rFonts w:ascii="Times New Roman" w:hAnsi="Times New Roman"/>
          <w:i/>
          <w:szCs w:val="24"/>
          <w:lang w:val="en-IE"/>
        </w:rPr>
        <w:t>Developmental Welfare State</w:t>
      </w:r>
      <w:r w:rsidR="00F62E2E" w:rsidRPr="00A866E7">
        <w:rPr>
          <w:rFonts w:ascii="Times New Roman" w:hAnsi="Times New Roman"/>
          <w:szCs w:val="24"/>
          <w:lang w:val="en-IE"/>
        </w:rPr>
        <w:t xml:space="preserve">, provided the framework for much of the current reforms of welfare and labour market services. </w:t>
      </w:r>
    </w:p>
    <w:p w:rsidR="00961894" w:rsidRPr="00A866E7" w:rsidRDefault="00F62E2E" w:rsidP="00A04E8D">
      <w:pPr>
        <w:spacing w:line="240" w:lineRule="auto"/>
        <w:rPr>
          <w:rFonts w:ascii="Times New Roman" w:hAnsi="Times New Roman"/>
          <w:szCs w:val="24"/>
          <w:lang w:val="en-IE"/>
        </w:rPr>
      </w:pPr>
      <w:r w:rsidRPr="00A866E7">
        <w:rPr>
          <w:rFonts w:ascii="Times New Roman" w:hAnsi="Times New Roman"/>
          <w:szCs w:val="24"/>
          <w:lang w:val="en-IE"/>
        </w:rPr>
        <w:t xml:space="preserve">Since 2008, the Council has provided a number of studies of Ireland’s crisis and recovery: </w:t>
      </w:r>
      <w:r w:rsidRPr="00A866E7">
        <w:rPr>
          <w:rFonts w:ascii="Times New Roman" w:hAnsi="Times New Roman"/>
          <w:i/>
          <w:szCs w:val="24"/>
          <w:lang w:val="en-IE"/>
        </w:rPr>
        <w:t>Ireland’s Five-Part Crisis: an Integrated National Response</w:t>
      </w:r>
      <w:r w:rsidRPr="00A866E7">
        <w:rPr>
          <w:rFonts w:ascii="Times New Roman" w:hAnsi="Times New Roman"/>
          <w:szCs w:val="24"/>
          <w:lang w:val="en-IE"/>
        </w:rPr>
        <w:t xml:space="preserve"> (2009) and </w:t>
      </w:r>
      <w:r w:rsidRPr="00A866E7">
        <w:rPr>
          <w:rFonts w:ascii="Times New Roman" w:hAnsi="Times New Roman"/>
          <w:i/>
          <w:szCs w:val="24"/>
          <w:lang w:val="en-IE"/>
        </w:rPr>
        <w:t xml:space="preserve">Ireland’s Five-Part Crisis Five Years </w:t>
      </w:r>
      <w:r w:rsidR="00204F0A" w:rsidRPr="00A866E7">
        <w:rPr>
          <w:rFonts w:ascii="Times New Roman" w:hAnsi="Times New Roman"/>
          <w:i/>
          <w:szCs w:val="24"/>
          <w:lang w:val="en-IE"/>
        </w:rPr>
        <w:t>on</w:t>
      </w:r>
      <w:r w:rsidRPr="00A866E7">
        <w:rPr>
          <w:rFonts w:ascii="Times New Roman" w:hAnsi="Times New Roman"/>
          <w:i/>
          <w:szCs w:val="24"/>
          <w:lang w:val="en-IE"/>
        </w:rPr>
        <w:t xml:space="preserve">: Deepening Reform and Institutional Innovation </w:t>
      </w:r>
      <w:r w:rsidRPr="00A866E7">
        <w:rPr>
          <w:rFonts w:ascii="Times New Roman" w:hAnsi="Times New Roman"/>
          <w:szCs w:val="24"/>
          <w:lang w:val="en-IE"/>
        </w:rPr>
        <w:t xml:space="preserve">(2013).  In 2012, government </w:t>
      </w:r>
      <w:r w:rsidR="00A23DA6" w:rsidRPr="00A866E7">
        <w:rPr>
          <w:rFonts w:ascii="Times New Roman" w:hAnsi="Times New Roman"/>
          <w:szCs w:val="24"/>
          <w:lang w:val="en-IE"/>
        </w:rPr>
        <w:t xml:space="preserve">took </w:t>
      </w:r>
      <w:r w:rsidR="00893C53" w:rsidRPr="00A866E7">
        <w:rPr>
          <w:rFonts w:ascii="Times New Roman" w:hAnsi="Times New Roman"/>
          <w:szCs w:val="24"/>
          <w:lang w:val="en-IE"/>
        </w:rPr>
        <w:t xml:space="preserve">a novel step by </w:t>
      </w:r>
      <w:r w:rsidRPr="00A866E7">
        <w:rPr>
          <w:rFonts w:ascii="Times New Roman" w:hAnsi="Times New Roman"/>
          <w:szCs w:val="24"/>
          <w:lang w:val="en-IE"/>
        </w:rPr>
        <w:t>ask</w:t>
      </w:r>
      <w:r w:rsidR="00893C53" w:rsidRPr="00A866E7">
        <w:rPr>
          <w:rFonts w:ascii="Times New Roman" w:hAnsi="Times New Roman"/>
          <w:szCs w:val="24"/>
          <w:lang w:val="en-IE"/>
        </w:rPr>
        <w:t xml:space="preserve">ing </w:t>
      </w:r>
      <w:r w:rsidRPr="00A866E7">
        <w:rPr>
          <w:rFonts w:ascii="Times New Roman" w:hAnsi="Times New Roman"/>
          <w:szCs w:val="24"/>
          <w:lang w:val="en-IE"/>
        </w:rPr>
        <w:t xml:space="preserve">the NESC Secretariat, rather than the Council, to prepare a report on climate change policy, </w:t>
      </w:r>
      <w:r w:rsidRPr="00A866E7">
        <w:rPr>
          <w:rFonts w:ascii="Times New Roman" w:hAnsi="Times New Roman"/>
          <w:i/>
          <w:szCs w:val="24"/>
          <w:lang w:val="en-IE"/>
        </w:rPr>
        <w:t>Ireland and the Climate Change Challenge: Connecting ‘How Much’ with ‘How To’</w:t>
      </w:r>
      <w:r w:rsidRPr="00A866E7">
        <w:rPr>
          <w:rFonts w:ascii="Times New Roman" w:hAnsi="Times New Roman"/>
          <w:szCs w:val="24"/>
          <w:lang w:val="en-IE"/>
        </w:rPr>
        <w:t xml:space="preserve">.  </w:t>
      </w:r>
      <w:r w:rsidR="00A23DA6" w:rsidRPr="00A866E7">
        <w:rPr>
          <w:rFonts w:ascii="Times New Roman" w:hAnsi="Times New Roman"/>
          <w:szCs w:val="24"/>
          <w:lang w:val="en-IE"/>
        </w:rPr>
        <w:t>The Council is currently wo</w:t>
      </w:r>
      <w:r w:rsidR="00893C53" w:rsidRPr="00A866E7">
        <w:rPr>
          <w:rFonts w:ascii="Times New Roman" w:hAnsi="Times New Roman"/>
          <w:szCs w:val="24"/>
          <w:lang w:val="en-IE"/>
        </w:rPr>
        <w:t xml:space="preserve">rking on housing policy and the challenge of Ireland’s relatively high share of jobless households.  The term of current Council ends in mid 2014.  </w:t>
      </w:r>
    </w:p>
    <w:p w:rsidR="00A866E7" w:rsidRDefault="00A866E7" w:rsidP="00A04E8D">
      <w:pPr>
        <w:spacing w:line="240" w:lineRule="auto"/>
        <w:jc w:val="left"/>
        <w:rPr>
          <w:rFonts w:ascii="Times New Roman" w:hAnsi="Times New Roman"/>
          <w:b/>
          <w:szCs w:val="24"/>
          <w:lang w:val="en-IE"/>
        </w:rPr>
      </w:pPr>
    </w:p>
    <w:p w:rsidR="009C3C17" w:rsidRPr="00A866E7" w:rsidRDefault="009C3C17" w:rsidP="00A04E8D">
      <w:pPr>
        <w:spacing w:line="240" w:lineRule="auto"/>
        <w:jc w:val="left"/>
        <w:rPr>
          <w:rFonts w:ascii="Times New Roman" w:hAnsi="Times New Roman"/>
          <w:b/>
          <w:i/>
          <w:szCs w:val="24"/>
          <w:u w:val="single"/>
          <w:lang w:val="en-IE"/>
        </w:rPr>
      </w:pPr>
      <w:r w:rsidRPr="00A866E7">
        <w:rPr>
          <w:rFonts w:ascii="Times New Roman" w:hAnsi="Times New Roman"/>
          <w:b/>
          <w:i/>
          <w:szCs w:val="24"/>
          <w:u w:val="single"/>
          <w:lang w:val="en-IE"/>
        </w:rPr>
        <w:t>Further Reading</w:t>
      </w:r>
    </w:p>
    <w:p w:rsidR="009C3C17" w:rsidRPr="00A866E7" w:rsidRDefault="009C3C17" w:rsidP="00A04E8D">
      <w:pPr>
        <w:spacing w:line="240" w:lineRule="auto"/>
        <w:rPr>
          <w:rFonts w:ascii="Times New Roman" w:hAnsi="Times New Roman"/>
          <w:szCs w:val="24"/>
          <w:lang w:val="en-IE"/>
        </w:rPr>
      </w:pPr>
      <w:r w:rsidRPr="00A866E7">
        <w:rPr>
          <w:rFonts w:ascii="Times New Roman" w:hAnsi="Times New Roman"/>
          <w:szCs w:val="24"/>
          <w:lang w:val="en-IE"/>
        </w:rPr>
        <w:t xml:space="preserve">O’Donnell, Rory, Maura Adshead and Damian Thomas, </w:t>
      </w:r>
      <w:r w:rsidR="00151955" w:rsidRPr="00A866E7">
        <w:rPr>
          <w:rFonts w:ascii="Times New Roman" w:hAnsi="Times New Roman"/>
          <w:szCs w:val="24"/>
          <w:lang w:val="en-IE"/>
        </w:rPr>
        <w:t xml:space="preserve">(2011) </w:t>
      </w:r>
      <w:r w:rsidRPr="00A866E7">
        <w:rPr>
          <w:rFonts w:ascii="Times New Roman" w:hAnsi="Times New Roman"/>
          <w:szCs w:val="24"/>
          <w:lang w:val="en-IE"/>
        </w:rPr>
        <w:t>‘Ireland</w:t>
      </w:r>
      <w:r w:rsidR="007C29C0" w:rsidRPr="00A866E7">
        <w:rPr>
          <w:rFonts w:ascii="Times New Roman" w:hAnsi="Times New Roman"/>
          <w:szCs w:val="24"/>
          <w:lang w:val="en-IE"/>
        </w:rPr>
        <w:t xml:space="preserve">: Two Trajectories of Institutionalisation’ </w:t>
      </w:r>
      <w:r w:rsidR="00A23DA6" w:rsidRPr="00A866E7">
        <w:rPr>
          <w:rFonts w:ascii="Times New Roman" w:hAnsi="Times New Roman"/>
          <w:szCs w:val="24"/>
          <w:lang w:val="en-IE"/>
        </w:rPr>
        <w:t xml:space="preserve">in </w:t>
      </w:r>
      <w:r w:rsidR="00151955" w:rsidRPr="00A866E7">
        <w:rPr>
          <w:rFonts w:ascii="Times New Roman" w:hAnsi="Times New Roman"/>
          <w:szCs w:val="24"/>
          <w:lang w:val="en-IE"/>
        </w:rPr>
        <w:t xml:space="preserve">Sabina Avdagic, Martin Rhodes and Jelle Visser (eds) </w:t>
      </w:r>
      <w:r w:rsidR="00151955" w:rsidRPr="00A866E7">
        <w:rPr>
          <w:rFonts w:ascii="Times New Roman" w:hAnsi="Times New Roman"/>
          <w:i/>
          <w:szCs w:val="24"/>
          <w:lang w:val="en-IE"/>
        </w:rPr>
        <w:t>Social Pacts in Europe: Emergence, Evolution and Institutionalisation</w:t>
      </w:r>
      <w:r w:rsidR="00151955" w:rsidRPr="00A866E7">
        <w:rPr>
          <w:rFonts w:ascii="Times New Roman" w:hAnsi="Times New Roman"/>
          <w:szCs w:val="24"/>
          <w:lang w:val="en-IE"/>
        </w:rPr>
        <w:t>, Oxford University Press.</w:t>
      </w:r>
    </w:p>
    <w:p w:rsidR="00084D99" w:rsidRDefault="00084D99" w:rsidP="00A04E8D">
      <w:pPr>
        <w:spacing w:line="240" w:lineRule="auto"/>
        <w:rPr>
          <w:rFonts w:ascii="Times New Roman" w:hAnsi="Times New Roman"/>
          <w:szCs w:val="24"/>
          <w:lang w:val="en-IE"/>
        </w:rPr>
      </w:pPr>
      <w:r w:rsidRPr="00A866E7">
        <w:rPr>
          <w:rFonts w:ascii="Times New Roman" w:hAnsi="Times New Roman"/>
          <w:szCs w:val="24"/>
          <w:lang w:val="en-IE"/>
        </w:rPr>
        <w:lastRenderedPageBreak/>
        <w:t>The periodic edited volumes on social pacts produced b</w:t>
      </w:r>
      <w:r w:rsidR="00204F0A">
        <w:rPr>
          <w:rFonts w:ascii="Times New Roman" w:hAnsi="Times New Roman"/>
          <w:szCs w:val="24"/>
          <w:lang w:val="en-IE"/>
        </w:rPr>
        <w:t>y the Observatoire Social Europé</w:t>
      </w:r>
      <w:r w:rsidRPr="00A866E7">
        <w:rPr>
          <w:rFonts w:ascii="Times New Roman" w:hAnsi="Times New Roman"/>
          <w:szCs w:val="24"/>
          <w:lang w:val="en-IE"/>
        </w:rPr>
        <w:t>en</w:t>
      </w:r>
      <w:r w:rsidR="00151955" w:rsidRPr="00A866E7">
        <w:rPr>
          <w:rFonts w:ascii="Times New Roman" w:hAnsi="Times New Roman"/>
          <w:szCs w:val="24"/>
          <w:lang w:val="en-IE"/>
        </w:rPr>
        <w:t xml:space="preserve">, Brussels, </w:t>
      </w:r>
      <w:r w:rsidRPr="00A866E7">
        <w:rPr>
          <w:rFonts w:ascii="Times New Roman" w:hAnsi="Times New Roman"/>
          <w:szCs w:val="24"/>
          <w:lang w:val="en-IE"/>
        </w:rPr>
        <w:t xml:space="preserve">contain chapters on social dialogue in Ireland and the work of </w:t>
      </w:r>
      <w:r w:rsidR="00A23DA6" w:rsidRPr="00A866E7">
        <w:rPr>
          <w:rFonts w:ascii="Times New Roman" w:hAnsi="Times New Roman"/>
          <w:szCs w:val="24"/>
          <w:lang w:val="en-IE"/>
        </w:rPr>
        <w:t xml:space="preserve">the </w:t>
      </w:r>
      <w:r w:rsidRPr="00A866E7">
        <w:rPr>
          <w:rFonts w:ascii="Times New Roman" w:hAnsi="Times New Roman"/>
          <w:szCs w:val="24"/>
          <w:lang w:val="en-IE"/>
        </w:rPr>
        <w:t>NESC</w:t>
      </w:r>
      <w:r w:rsidR="00A23DA6" w:rsidRPr="00A866E7">
        <w:rPr>
          <w:rFonts w:ascii="Times New Roman" w:hAnsi="Times New Roman"/>
          <w:szCs w:val="24"/>
          <w:lang w:val="en-IE"/>
        </w:rPr>
        <w:t xml:space="preserve">, </w:t>
      </w:r>
      <w:r w:rsidR="00A23DA6" w:rsidRPr="00A866E7">
        <w:rPr>
          <w:rFonts w:ascii="Times New Roman" w:hAnsi="Times New Roman"/>
          <w:i/>
          <w:szCs w:val="24"/>
          <w:lang w:val="en-IE"/>
        </w:rPr>
        <w:t>Social Pacts in Europe</w:t>
      </w:r>
      <w:r w:rsidR="00A23DA6" w:rsidRPr="00A866E7">
        <w:rPr>
          <w:rFonts w:ascii="Times New Roman" w:hAnsi="Times New Roman"/>
          <w:szCs w:val="24"/>
          <w:lang w:val="en-IE"/>
        </w:rPr>
        <w:t xml:space="preserve"> (1997), </w:t>
      </w:r>
      <w:r w:rsidR="00A23DA6" w:rsidRPr="00A866E7">
        <w:rPr>
          <w:rFonts w:ascii="Times New Roman" w:hAnsi="Times New Roman"/>
          <w:i/>
          <w:szCs w:val="24"/>
          <w:lang w:val="en-IE"/>
        </w:rPr>
        <w:t xml:space="preserve">Social Pacts in Europe-New Dynamics </w:t>
      </w:r>
      <w:r w:rsidR="00A23DA6" w:rsidRPr="00A866E7">
        <w:rPr>
          <w:rFonts w:ascii="Times New Roman" w:hAnsi="Times New Roman"/>
          <w:szCs w:val="24"/>
          <w:lang w:val="en-IE"/>
        </w:rPr>
        <w:t xml:space="preserve">(2000), </w:t>
      </w:r>
      <w:r w:rsidR="00A23DA6" w:rsidRPr="00A866E7">
        <w:rPr>
          <w:rFonts w:ascii="Times New Roman" w:hAnsi="Times New Roman"/>
          <w:i/>
          <w:szCs w:val="24"/>
          <w:lang w:val="en-IE"/>
        </w:rPr>
        <w:t>Wage Policy in the Eurozone</w:t>
      </w:r>
      <w:r w:rsidR="00A23DA6" w:rsidRPr="00A866E7">
        <w:rPr>
          <w:rFonts w:ascii="Times New Roman" w:hAnsi="Times New Roman"/>
          <w:szCs w:val="24"/>
          <w:lang w:val="en-IE"/>
        </w:rPr>
        <w:t xml:space="preserve"> (2002), </w:t>
      </w:r>
      <w:r w:rsidR="00204F0A" w:rsidRPr="00A866E7">
        <w:rPr>
          <w:rFonts w:ascii="Times New Roman" w:hAnsi="Times New Roman"/>
          <w:i/>
          <w:szCs w:val="24"/>
          <w:lang w:val="en-IE"/>
        </w:rPr>
        <w:t>and After</w:t>
      </w:r>
      <w:r w:rsidR="00151955" w:rsidRPr="00A866E7">
        <w:rPr>
          <w:rFonts w:ascii="Times New Roman" w:hAnsi="Times New Roman"/>
          <w:i/>
          <w:szCs w:val="24"/>
          <w:lang w:val="en-IE"/>
        </w:rPr>
        <w:t xml:space="preserve"> the Euro and Enlargement: Social Pacts in the Euro</w:t>
      </w:r>
      <w:r w:rsidR="00151955" w:rsidRPr="00A866E7">
        <w:rPr>
          <w:rFonts w:ascii="Times New Roman" w:hAnsi="Times New Roman"/>
          <w:szCs w:val="24"/>
          <w:lang w:val="en-IE"/>
        </w:rPr>
        <w:t xml:space="preserve"> (2010). </w:t>
      </w:r>
    </w:p>
    <w:p w:rsidR="00A866E7" w:rsidRDefault="00A866E7" w:rsidP="00A04E8D">
      <w:pPr>
        <w:spacing w:line="240" w:lineRule="auto"/>
        <w:rPr>
          <w:rFonts w:ascii="Times New Roman" w:hAnsi="Times New Roman"/>
          <w:szCs w:val="24"/>
          <w:lang w:val="en-IE"/>
        </w:rPr>
      </w:pPr>
    </w:p>
    <w:p w:rsidR="00A866E7" w:rsidRPr="00A866E7" w:rsidRDefault="00A866E7" w:rsidP="00A866E7">
      <w:pPr>
        <w:spacing w:line="240" w:lineRule="auto"/>
        <w:jc w:val="center"/>
        <w:rPr>
          <w:rFonts w:ascii="Times New Roman" w:hAnsi="Times New Roman"/>
          <w:szCs w:val="24"/>
          <w:lang w:val="en-IE"/>
        </w:rPr>
      </w:pPr>
      <w:r>
        <w:rPr>
          <w:rFonts w:ascii="Times New Roman" w:hAnsi="Times New Roman"/>
          <w:szCs w:val="24"/>
          <w:lang w:val="en-IE"/>
        </w:rPr>
        <w:t>______________</w:t>
      </w:r>
    </w:p>
    <w:sectPr w:rsidR="00A866E7" w:rsidRPr="00A866E7" w:rsidSect="007F6D1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D1" w:rsidRDefault="007044D1" w:rsidP="00DB41F4">
      <w:pPr>
        <w:spacing w:after="0" w:line="240" w:lineRule="auto"/>
      </w:pPr>
      <w:r>
        <w:separator/>
      </w:r>
    </w:p>
  </w:endnote>
  <w:endnote w:type="continuationSeparator" w:id="0">
    <w:p w:rsidR="007044D1" w:rsidRDefault="007044D1" w:rsidP="00DB4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4532"/>
      <w:docPartObj>
        <w:docPartGallery w:val="Page Numbers (Bottom of Page)"/>
        <w:docPartUnique/>
      </w:docPartObj>
    </w:sdtPr>
    <w:sdtContent>
      <w:p w:rsidR="0033687A" w:rsidRDefault="003E752F">
        <w:pPr>
          <w:pStyle w:val="Pieddepage"/>
          <w:jc w:val="center"/>
        </w:pPr>
        <w:fldSimple w:instr=" PAGE   \* MERGEFORMAT ">
          <w:r w:rsidR="00204F0A">
            <w:rPr>
              <w:noProof/>
            </w:rPr>
            <w:t>1</w:t>
          </w:r>
        </w:fldSimple>
      </w:p>
    </w:sdtContent>
  </w:sdt>
  <w:p w:rsidR="0033687A" w:rsidRDefault="003368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D1" w:rsidRDefault="007044D1" w:rsidP="00DB41F4">
      <w:pPr>
        <w:spacing w:after="0" w:line="240" w:lineRule="auto"/>
      </w:pPr>
      <w:r>
        <w:separator/>
      </w:r>
    </w:p>
  </w:footnote>
  <w:footnote w:type="continuationSeparator" w:id="0">
    <w:p w:rsidR="007044D1" w:rsidRDefault="007044D1" w:rsidP="00DB4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94595"/>
    <w:multiLevelType w:val="multilevel"/>
    <w:tmpl w:val="9222BB64"/>
    <w:lvl w:ilvl="0">
      <w:start w:val="1"/>
      <w:numFmt w:val="lowerRoman"/>
      <w:pStyle w:val="Listepuces"/>
      <w:lvlText w:val="%1."/>
      <w:lvlJc w:val="left"/>
      <w:pPr>
        <w:ind w:left="1021" w:hanging="454"/>
      </w:pPr>
      <w:rPr>
        <w:rFonts w:hint="default"/>
      </w:rPr>
    </w:lvl>
    <w:lvl w:ilvl="1">
      <w:start w:val="1"/>
      <w:numFmt w:val="lowerLetter"/>
      <w:lvlText w:val="%2)"/>
      <w:lvlJc w:val="left"/>
      <w:pPr>
        <w:ind w:left="1474" w:hanging="45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94B3C65"/>
    <w:multiLevelType w:val="multilevel"/>
    <w:tmpl w:val="0D888C8E"/>
    <w:lvl w:ilvl="0">
      <w:start w:val="1"/>
      <w:numFmt w:val="decimal"/>
      <w:suff w:val="nothing"/>
      <w:lvlText w:val="Chapter %1"/>
      <w:lvlJc w:val="center"/>
      <w:pPr>
        <w:ind w:left="0" w:firstLine="360"/>
      </w:pPr>
      <w:rPr>
        <w:rFonts w:hint="default"/>
        <w:i w:val="0"/>
        <w:iC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pStyle w:val="Titre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lvlOverride w:ilvl="0">
      <w:lvl w:ilvl="0">
        <w:start w:val="1"/>
        <w:numFmt w:val="bullet"/>
        <w:pStyle w:val="Listepuces"/>
        <w:lvlText w:val=""/>
        <w:lvlJc w:val="left"/>
        <w:pPr>
          <w:ind w:left="1174" w:hanging="454"/>
        </w:pPr>
        <w:rPr>
          <w:rFonts w:ascii="Symbol" w:hAnsi="Symbol" w:hint="default"/>
          <w:color w:val="auto"/>
        </w:rPr>
      </w:lvl>
    </w:lvlOverride>
    <w:lvlOverride w:ilvl="1">
      <w:lvl w:ilvl="1">
        <w:start w:val="1"/>
        <w:numFmt w:val="bullet"/>
        <w:lvlText w:val=""/>
        <w:lvlJc w:val="left"/>
        <w:pPr>
          <w:ind w:left="1627" w:hanging="453"/>
        </w:pPr>
        <w:rPr>
          <w:rFonts w:ascii="Symbol" w:hAnsi="Symbol" w:hint="default"/>
        </w:rPr>
      </w:lvl>
    </w:lvlOverride>
    <w:lvlOverride w:ilvl="2">
      <w:lvl w:ilvl="2">
        <w:start w:val="1"/>
        <w:numFmt w:val="lowerRoman"/>
        <w:lvlText w:val="%3)"/>
        <w:lvlJc w:val="left"/>
        <w:pPr>
          <w:ind w:left="1233" w:hanging="360"/>
        </w:pPr>
        <w:rPr>
          <w:rFonts w:hint="default"/>
        </w:rPr>
      </w:lvl>
    </w:lvlOverride>
    <w:lvlOverride w:ilvl="3">
      <w:lvl w:ilvl="3">
        <w:start w:val="1"/>
        <w:numFmt w:val="decimal"/>
        <w:lvlText w:val="(%4)"/>
        <w:lvlJc w:val="left"/>
        <w:pPr>
          <w:ind w:left="1593" w:hanging="360"/>
        </w:pPr>
        <w:rPr>
          <w:rFonts w:hint="default"/>
        </w:rPr>
      </w:lvl>
    </w:lvlOverride>
    <w:lvlOverride w:ilvl="4">
      <w:lvl w:ilvl="4">
        <w:start w:val="1"/>
        <w:numFmt w:val="lowerLetter"/>
        <w:lvlText w:val="(%5)"/>
        <w:lvlJc w:val="left"/>
        <w:pPr>
          <w:ind w:left="1953" w:hanging="360"/>
        </w:pPr>
        <w:rPr>
          <w:rFonts w:hint="default"/>
        </w:rPr>
      </w:lvl>
    </w:lvlOverride>
    <w:lvlOverride w:ilvl="5">
      <w:lvl w:ilvl="5">
        <w:start w:val="1"/>
        <w:numFmt w:val="lowerRoman"/>
        <w:lvlText w:val="(%6)"/>
        <w:lvlJc w:val="left"/>
        <w:pPr>
          <w:ind w:left="2313" w:hanging="360"/>
        </w:pPr>
        <w:rPr>
          <w:rFonts w:hint="default"/>
        </w:rPr>
      </w:lvl>
    </w:lvlOverride>
    <w:lvlOverride w:ilvl="6">
      <w:lvl w:ilvl="6">
        <w:start w:val="1"/>
        <w:numFmt w:val="decimal"/>
        <w:lvlText w:val="%7."/>
        <w:lvlJc w:val="left"/>
        <w:pPr>
          <w:ind w:left="2673" w:hanging="360"/>
        </w:pPr>
        <w:rPr>
          <w:rFonts w:hint="default"/>
        </w:rPr>
      </w:lvl>
    </w:lvlOverride>
    <w:lvlOverride w:ilvl="7">
      <w:lvl w:ilvl="7">
        <w:start w:val="1"/>
        <w:numFmt w:val="lowerLetter"/>
        <w:lvlText w:val="%8."/>
        <w:lvlJc w:val="left"/>
        <w:pPr>
          <w:ind w:left="3033" w:hanging="360"/>
        </w:pPr>
        <w:rPr>
          <w:rFonts w:hint="default"/>
        </w:rPr>
      </w:lvl>
    </w:lvlOverride>
    <w:lvlOverride w:ilvl="8">
      <w:lvl w:ilvl="8">
        <w:start w:val="1"/>
        <w:numFmt w:val="lowerRoman"/>
        <w:lvlText w:val="%9."/>
        <w:lvlJc w:val="left"/>
        <w:pPr>
          <w:ind w:left="3393"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EA1230"/>
    <w:rsid w:val="00004AA3"/>
    <w:rsid w:val="000108CB"/>
    <w:rsid w:val="0001132A"/>
    <w:rsid w:val="00013461"/>
    <w:rsid w:val="00017E45"/>
    <w:rsid w:val="0002320F"/>
    <w:rsid w:val="00024784"/>
    <w:rsid w:val="00024BE3"/>
    <w:rsid w:val="0002570D"/>
    <w:rsid w:val="000342AC"/>
    <w:rsid w:val="00035CAF"/>
    <w:rsid w:val="000421CF"/>
    <w:rsid w:val="00052E02"/>
    <w:rsid w:val="0005582C"/>
    <w:rsid w:val="000561E8"/>
    <w:rsid w:val="00057883"/>
    <w:rsid w:val="00057D65"/>
    <w:rsid w:val="0006392D"/>
    <w:rsid w:val="000639C9"/>
    <w:rsid w:val="00070442"/>
    <w:rsid w:val="000705B0"/>
    <w:rsid w:val="00075A6D"/>
    <w:rsid w:val="00075B9A"/>
    <w:rsid w:val="000772E0"/>
    <w:rsid w:val="000819B9"/>
    <w:rsid w:val="00084D99"/>
    <w:rsid w:val="000921E0"/>
    <w:rsid w:val="000949DE"/>
    <w:rsid w:val="000A4A7A"/>
    <w:rsid w:val="000B0E28"/>
    <w:rsid w:val="000B509E"/>
    <w:rsid w:val="000B64A3"/>
    <w:rsid w:val="000B76C8"/>
    <w:rsid w:val="000C1068"/>
    <w:rsid w:val="000C1E17"/>
    <w:rsid w:val="000C419B"/>
    <w:rsid w:val="000D59A9"/>
    <w:rsid w:val="000E0FF9"/>
    <w:rsid w:val="000E340C"/>
    <w:rsid w:val="000E3F43"/>
    <w:rsid w:val="000E3F7C"/>
    <w:rsid w:val="000E5884"/>
    <w:rsid w:val="000E7558"/>
    <w:rsid w:val="000F0E23"/>
    <w:rsid w:val="000F15D3"/>
    <w:rsid w:val="000F5504"/>
    <w:rsid w:val="000F5E51"/>
    <w:rsid w:val="000F609D"/>
    <w:rsid w:val="0010448B"/>
    <w:rsid w:val="00104AAF"/>
    <w:rsid w:val="001053E1"/>
    <w:rsid w:val="00106003"/>
    <w:rsid w:val="00113AB0"/>
    <w:rsid w:val="00114137"/>
    <w:rsid w:val="00114302"/>
    <w:rsid w:val="00114CAC"/>
    <w:rsid w:val="001160DF"/>
    <w:rsid w:val="001215E9"/>
    <w:rsid w:val="00124584"/>
    <w:rsid w:val="00126338"/>
    <w:rsid w:val="00130C0A"/>
    <w:rsid w:val="00130F7C"/>
    <w:rsid w:val="00131249"/>
    <w:rsid w:val="00131B4D"/>
    <w:rsid w:val="001327E9"/>
    <w:rsid w:val="00133F4B"/>
    <w:rsid w:val="0013569D"/>
    <w:rsid w:val="001427F8"/>
    <w:rsid w:val="00143995"/>
    <w:rsid w:val="00151482"/>
    <w:rsid w:val="00151955"/>
    <w:rsid w:val="00156233"/>
    <w:rsid w:val="001633E2"/>
    <w:rsid w:val="0016612E"/>
    <w:rsid w:val="00167B5F"/>
    <w:rsid w:val="00170C20"/>
    <w:rsid w:val="00171639"/>
    <w:rsid w:val="001729A2"/>
    <w:rsid w:val="00175F5A"/>
    <w:rsid w:val="00181060"/>
    <w:rsid w:val="001833CE"/>
    <w:rsid w:val="001900FA"/>
    <w:rsid w:val="00194BF4"/>
    <w:rsid w:val="0019572B"/>
    <w:rsid w:val="00195EF8"/>
    <w:rsid w:val="00197FB3"/>
    <w:rsid w:val="001A0599"/>
    <w:rsid w:val="001A3DA9"/>
    <w:rsid w:val="001A4411"/>
    <w:rsid w:val="001A657F"/>
    <w:rsid w:val="001A7F7D"/>
    <w:rsid w:val="001B4513"/>
    <w:rsid w:val="001B4E3B"/>
    <w:rsid w:val="001B6034"/>
    <w:rsid w:val="001C0FAD"/>
    <w:rsid w:val="001C7180"/>
    <w:rsid w:val="001D02B6"/>
    <w:rsid w:val="001E1A13"/>
    <w:rsid w:val="001F3E9D"/>
    <w:rsid w:val="00201348"/>
    <w:rsid w:val="00201B18"/>
    <w:rsid w:val="0020295B"/>
    <w:rsid w:val="00204F0A"/>
    <w:rsid w:val="00211177"/>
    <w:rsid w:val="00211B64"/>
    <w:rsid w:val="002132BD"/>
    <w:rsid w:val="00214242"/>
    <w:rsid w:val="00214AAE"/>
    <w:rsid w:val="00216BE7"/>
    <w:rsid w:val="00226B77"/>
    <w:rsid w:val="00230AC9"/>
    <w:rsid w:val="002337E6"/>
    <w:rsid w:val="00233A98"/>
    <w:rsid w:val="00236DD6"/>
    <w:rsid w:val="00236EC3"/>
    <w:rsid w:val="00237A4C"/>
    <w:rsid w:val="002419AA"/>
    <w:rsid w:val="00242009"/>
    <w:rsid w:val="0024524E"/>
    <w:rsid w:val="00251685"/>
    <w:rsid w:val="00254215"/>
    <w:rsid w:val="00256EB0"/>
    <w:rsid w:val="00257CB5"/>
    <w:rsid w:val="00260A03"/>
    <w:rsid w:val="002666B3"/>
    <w:rsid w:val="00266CEE"/>
    <w:rsid w:val="002702B9"/>
    <w:rsid w:val="0028101D"/>
    <w:rsid w:val="0028204D"/>
    <w:rsid w:val="002869AC"/>
    <w:rsid w:val="00286BDA"/>
    <w:rsid w:val="0029679F"/>
    <w:rsid w:val="002A297A"/>
    <w:rsid w:val="002B045B"/>
    <w:rsid w:val="002B100A"/>
    <w:rsid w:val="002B16E6"/>
    <w:rsid w:val="002C0D79"/>
    <w:rsid w:val="002C238F"/>
    <w:rsid w:val="002C6264"/>
    <w:rsid w:val="002D113A"/>
    <w:rsid w:val="002D3878"/>
    <w:rsid w:val="002D3A62"/>
    <w:rsid w:val="002E01BB"/>
    <w:rsid w:val="002E3364"/>
    <w:rsid w:val="002E4DEB"/>
    <w:rsid w:val="002E66E8"/>
    <w:rsid w:val="002F042F"/>
    <w:rsid w:val="002F4848"/>
    <w:rsid w:val="003005C4"/>
    <w:rsid w:val="00301FB1"/>
    <w:rsid w:val="0031424C"/>
    <w:rsid w:val="00316DE0"/>
    <w:rsid w:val="00326EC7"/>
    <w:rsid w:val="00330A72"/>
    <w:rsid w:val="00331C95"/>
    <w:rsid w:val="00335A10"/>
    <w:rsid w:val="0033687A"/>
    <w:rsid w:val="00337050"/>
    <w:rsid w:val="00337970"/>
    <w:rsid w:val="00337C9B"/>
    <w:rsid w:val="0034048F"/>
    <w:rsid w:val="00346273"/>
    <w:rsid w:val="00346FE9"/>
    <w:rsid w:val="003530CB"/>
    <w:rsid w:val="00364BDB"/>
    <w:rsid w:val="003652D8"/>
    <w:rsid w:val="00365F26"/>
    <w:rsid w:val="00367CFE"/>
    <w:rsid w:val="0037642A"/>
    <w:rsid w:val="00376F72"/>
    <w:rsid w:val="003801F1"/>
    <w:rsid w:val="0038304D"/>
    <w:rsid w:val="00396767"/>
    <w:rsid w:val="003A5311"/>
    <w:rsid w:val="003B1A50"/>
    <w:rsid w:val="003B3123"/>
    <w:rsid w:val="003B6F08"/>
    <w:rsid w:val="003C204D"/>
    <w:rsid w:val="003C5D49"/>
    <w:rsid w:val="003D2E2C"/>
    <w:rsid w:val="003E4C9A"/>
    <w:rsid w:val="003E5222"/>
    <w:rsid w:val="003E56C1"/>
    <w:rsid w:val="003E63C6"/>
    <w:rsid w:val="003E752F"/>
    <w:rsid w:val="003F2505"/>
    <w:rsid w:val="003F37DD"/>
    <w:rsid w:val="003F4DEA"/>
    <w:rsid w:val="003F6D8C"/>
    <w:rsid w:val="00405B6C"/>
    <w:rsid w:val="004103B5"/>
    <w:rsid w:val="00410BC5"/>
    <w:rsid w:val="004113DC"/>
    <w:rsid w:val="00412345"/>
    <w:rsid w:val="0041499D"/>
    <w:rsid w:val="004172BC"/>
    <w:rsid w:val="00422E01"/>
    <w:rsid w:val="004245CC"/>
    <w:rsid w:val="004253BA"/>
    <w:rsid w:val="00427DB8"/>
    <w:rsid w:val="00431631"/>
    <w:rsid w:val="004316F2"/>
    <w:rsid w:val="00441F7B"/>
    <w:rsid w:val="004442B4"/>
    <w:rsid w:val="00445487"/>
    <w:rsid w:val="004457E2"/>
    <w:rsid w:val="004527CE"/>
    <w:rsid w:val="004537D2"/>
    <w:rsid w:val="004613A3"/>
    <w:rsid w:val="00462087"/>
    <w:rsid w:val="00463391"/>
    <w:rsid w:val="00463D79"/>
    <w:rsid w:val="00471207"/>
    <w:rsid w:val="00473275"/>
    <w:rsid w:val="00473E4B"/>
    <w:rsid w:val="00480F7F"/>
    <w:rsid w:val="00482028"/>
    <w:rsid w:val="00487B1D"/>
    <w:rsid w:val="0049188E"/>
    <w:rsid w:val="00493D8E"/>
    <w:rsid w:val="004958BC"/>
    <w:rsid w:val="00496436"/>
    <w:rsid w:val="00496FCE"/>
    <w:rsid w:val="004A0002"/>
    <w:rsid w:val="004A1CC3"/>
    <w:rsid w:val="004A2289"/>
    <w:rsid w:val="004A393C"/>
    <w:rsid w:val="004A71EC"/>
    <w:rsid w:val="004B0AE6"/>
    <w:rsid w:val="004B485A"/>
    <w:rsid w:val="004C098F"/>
    <w:rsid w:val="004C3ACA"/>
    <w:rsid w:val="004C5DB9"/>
    <w:rsid w:val="004D66D4"/>
    <w:rsid w:val="004D6803"/>
    <w:rsid w:val="004D6835"/>
    <w:rsid w:val="004D6D05"/>
    <w:rsid w:val="004D6FB9"/>
    <w:rsid w:val="004E6D6A"/>
    <w:rsid w:val="004F06BF"/>
    <w:rsid w:val="004F095C"/>
    <w:rsid w:val="004F2DAA"/>
    <w:rsid w:val="004F30FF"/>
    <w:rsid w:val="004F418B"/>
    <w:rsid w:val="004F5DAF"/>
    <w:rsid w:val="00500284"/>
    <w:rsid w:val="005064C6"/>
    <w:rsid w:val="00506FEF"/>
    <w:rsid w:val="00511441"/>
    <w:rsid w:val="00515774"/>
    <w:rsid w:val="00532B43"/>
    <w:rsid w:val="00533E53"/>
    <w:rsid w:val="00535653"/>
    <w:rsid w:val="00540F04"/>
    <w:rsid w:val="005428B6"/>
    <w:rsid w:val="005431B5"/>
    <w:rsid w:val="00546564"/>
    <w:rsid w:val="0054661F"/>
    <w:rsid w:val="00546A7B"/>
    <w:rsid w:val="0054782D"/>
    <w:rsid w:val="00551C8C"/>
    <w:rsid w:val="0055286B"/>
    <w:rsid w:val="00560641"/>
    <w:rsid w:val="00564C12"/>
    <w:rsid w:val="00571A30"/>
    <w:rsid w:val="00574ECD"/>
    <w:rsid w:val="00576B44"/>
    <w:rsid w:val="0058131F"/>
    <w:rsid w:val="00582623"/>
    <w:rsid w:val="005840EE"/>
    <w:rsid w:val="00584F7A"/>
    <w:rsid w:val="0058553B"/>
    <w:rsid w:val="0058666A"/>
    <w:rsid w:val="005931D2"/>
    <w:rsid w:val="00594FF8"/>
    <w:rsid w:val="00596A0A"/>
    <w:rsid w:val="005A00EE"/>
    <w:rsid w:val="005A23F7"/>
    <w:rsid w:val="005B0970"/>
    <w:rsid w:val="005B1F8A"/>
    <w:rsid w:val="005B42F0"/>
    <w:rsid w:val="005B4650"/>
    <w:rsid w:val="005B677E"/>
    <w:rsid w:val="005B6FE5"/>
    <w:rsid w:val="005C07DA"/>
    <w:rsid w:val="005C12CB"/>
    <w:rsid w:val="005C36D1"/>
    <w:rsid w:val="005C7541"/>
    <w:rsid w:val="005D4988"/>
    <w:rsid w:val="005D5088"/>
    <w:rsid w:val="005E02C4"/>
    <w:rsid w:val="005E07A6"/>
    <w:rsid w:val="005E4F2C"/>
    <w:rsid w:val="005F0C21"/>
    <w:rsid w:val="005F37C5"/>
    <w:rsid w:val="005F4A3C"/>
    <w:rsid w:val="005F53C6"/>
    <w:rsid w:val="005F72EF"/>
    <w:rsid w:val="00602378"/>
    <w:rsid w:val="00610657"/>
    <w:rsid w:val="00614F56"/>
    <w:rsid w:val="00623BBA"/>
    <w:rsid w:val="00626A80"/>
    <w:rsid w:val="006315A7"/>
    <w:rsid w:val="00631FDC"/>
    <w:rsid w:val="006322CE"/>
    <w:rsid w:val="0063449F"/>
    <w:rsid w:val="00635BA7"/>
    <w:rsid w:val="00637281"/>
    <w:rsid w:val="00640AF5"/>
    <w:rsid w:val="00643295"/>
    <w:rsid w:val="00646A14"/>
    <w:rsid w:val="0065394A"/>
    <w:rsid w:val="00654279"/>
    <w:rsid w:val="0066007F"/>
    <w:rsid w:val="00661BDE"/>
    <w:rsid w:val="006628AA"/>
    <w:rsid w:val="00663338"/>
    <w:rsid w:val="00663504"/>
    <w:rsid w:val="00674472"/>
    <w:rsid w:val="00675B1F"/>
    <w:rsid w:val="00677587"/>
    <w:rsid w:val="00677CA3"/>
    <w:rsid w:val="00680C09"/>
    <w:rsid w:val="00682AC1"/>
    <w:rsid w:val="00682F66"/>
    <w:rsid w:val="00686802"/>
    <w:rsid w:val="00686FD8"/>
    <w:rsid w:val="00694A84"/>
    <w:rsid w:val="006A0002"/>
    <w:rsid w:val="006A2E3A"/>
    <w:rsid w:val="006B130D"/>
    <w:rsid w:val="006C212F"/>
    <w:rsid w:val="006D4C3B"/>
    <w:rsid w:val="006D54FF"/>
    <w:rsid w:val="006E14E5"/>
    <w:rsid w:val="006E55BB"/>
    <w:rsid w:val="006F2897"/>
    <w:rsid w:val="006F3FAA"/>
    <w:rsid w:val="006F7766"/>
    <w:rsid w:val="007044D1"/>
    <w:rsid w:val="00707237"/>
    <w:rsid w:val="00724287"/>
    <w:rsid w:val="00724F6E"/>
    <w:rsid w:val="00727792"/>
    <w:rsid w:val="00731EEE"/>
    <w:rsid w:val="00734C96"/>
    <w:rsid w:val="0073549B"/>
    <w:rsid w:val="00735A61"/>
    <w:rsid w:val="00750635"/>
    <w:rsid w:val="007511CD"/>
    <w:rsid w:val="00755D32"/>
    <w:rsid w:val="00755D9D"/>
    <w:rsid w:val="00762B3A"/>
    <w:rsid w:val="0076326F"/>
    <w:rsid w:val="0076430F"/>
    <w:rsid w:val="0077237C"/>
    <w:rsid w:val="00775E0C"/>
    <w:rsid w:val="00780211"/>
    <w:rsid w:val="0078147F"/>
    <w:rsid w:val="00786705"/>
    <w:rsid w:val="007937E7"/>
    <w:rsid w:val="007A1639"/>
    <w:rsid w:val="007A36ED"/>
    <w:rsid w:val="007A3BEF"/>
    <w:rsid w:val="007A6380"/>
    <w:rsid w:val="007B2A34"/>
    <w:rsid w:val="007B3D6D"/>
    <w:rsid w:val="007C29C0"/>
    <w:rsid w:val="007C432E"/>
    <w:rsid w:val="007C4CA4"/>
    <w:rsid w:val="007C5092"/>
    <w:rsid w:val="007C557A"/>
    <w:rsid w:val="007C6C75"/>
    <w:rsid w:val="007C74C6"/>
    <w:rsid w:val="007D1203"/>
    <w:rsid w:val="007D7F42"/>
    <w:rsid w:val="007F6D11"/>
    <w:rsid w:val="008006EA"/>
    <w:rsid w:val="00802537"/>
    <w:rsid w:val="00802921"/>
    <w:rsid w:val="00806529"/>
    <w:rsid w:val="0081051F"/>
    <w:rsid w:val="00813DFB"/>
    <w:rsid w:val="00822E98"/>
    <w:rsid w:val="008239F8"/>
    <w:rsid w:val="0082678F"/>
    <w:rsid w:val="0082706D"/>
    <w:rsid w:val="00832FA0"/>
    <w:rsid w:val="008340B7"/>
    <w:rsid w:val="00837AD1"/>
    <w:rsid w:val="00842C41"/>
    <w:rsid w:val="008433C0"/>
    <w:rsid w:val="00843AB4"/>
    <w:rsid w:val="0085068D"/>
    <w:rsid w:val="00852E59"/>
    <w:rsid w:val="0086195E"/>
    <w:rsid w:val="0087035D"/>
    <w:rsid w:val="00872785"/>
    <w:rsid w:val="0087279A"/>
    <w:rsid w:val="00873C48"/>
    <w:rsid w:val="008760A7"/>
    <w:rsid w:val="00880DF2"/>
    <w:rsid w:val="00890205"/>
    <w:rsid w:val="00890270"/>
    <w:rsid w:val="00890451"/>
    <w:rsid w:val="00893C53"/>
    <w:rsid w:val="00894D79"/>
    <w:rsid w:val="00895CB3"/>
    <w:rsid w:val="008A018D"/>
    <w:rsid w:val="008A24A3"/>
    <w:rsid w:val="008A7735"/>
    <w:rsid w:val="008B0C52"/>
    <w:rsid w:val="008B0D9B"/>
    <w:rsid w:val="008B1BB3"/>
    <w:rsid w:val="008B5517"/>
    <w:rsid w:val="008C1B03"/>
    <w:rsid w:val="008C7088"/>
    <w:rsid w:val="008D10F1"/>
    <w:rsid w:val="008D2EEB"/>
    <w:rsid w:val="008E165B"/>
    <w:rsid w:val="008E5A53"/>
    <w:rsid w:val="008F02C8"/>
    <w:rsid w:val="008F64E1"/>
    <w:rsid w:val="00900908"/>
    <w:rsid w:val="009038AA"/>
    <w:rsid w:val="00911289"/>
    <w:rsid w:val="009160A8"/>
    <w:rsid w:val="00917FE0"/>
    <w:rsid w:val="0092068E"/>
    <w:rsid w:val="0093080A"/>
    <w:rsid w:val="0093494D"/>
    <w:rsid w:val="00945A2C"/>
    <w:rsid w:val="009503D4"/>
    <w:rsid w:val="009508FF"/>
    <w:rsid w:val="009514A2"/>
    <w:rsid w:val="009525F6"/>
    <w:rsid w:val="00953C87"/>
    <w:rsid w:val="00956CDE"/>
    <w:rsid w:val="00956F65"/>
    <w:rsid w:val="009573A3"/>
    <w:rsid w:val="00961894"/>
    <w:rsid w:val="00962959"/>
    <w:rsid w:val="00963B1E"/>
    <w:rsid w:val="009658DE"/>
    <w:rsid w:val="00970207"/>
    <w:rsid w:val="0097092D"/>
    <w:rsid w:val="00971898"/>
    <w:rsid w:val="009760A5"/>
    <w:rsid w:val="00983101"/>
    <w:rsid w:val="0098421A"/>
    <w:rsid w:val="00984E57"/>
    <w:rsid w:val="00986BEE"/>
    <w:rsid w:val="00995F37"/>
    <w:rsid w:val="009A3463"/>
    <w:rsid w:val="009A5C2B"/>
    <w:rsid w:val="009A6F77"/>
    <w:rsid w:val="009A7455"/>
    <w:rsid w:val="009B1B8D"/>
    <w:rsid w:val="009B7FE9"/>
    <w:rsid w:val="009C0114"/>
    <w:rsid w:val="009C3C17"/>
    <w:rsid w:val="009D141B"/>
    <w:rsid w:val="009D1C71"/>
    <w:rsid w:val="009D5A12"/>
    <w:rsid w:val="009D7A4B"/>
    <w:rsid w:val="009E3E31"/>
    <w:rsid w:val="009F1B6F"/>
    <w:rsid w:val="009F5AA7"/>
    <w:rsid w:val="00A00F02"/>
    <w:rsid w:val="00A029C7"/>
    <w:rsid w:val="00A03465"/>
    <w:rsid w:val="00A03C34"/>
    <w:rsid w:val="00A04B40"/>
    <w:rsid w:val="00A04E8D"/>
    <w:rsid w:val="00A10D6B"/>
    <w:rsid w:val="00A23DA6"/>
    <w:rsid w:val="00A251F4"/>
    <w:rsid w:val="00A34374"/>
    <w:rsid w:val="00A3612B"/>
    <w:rsid w:val="00A42364"/>
    <w:rsid w:val="00A45387"/>
    <w:rsid w:val="00A506BE"/>
    <w:rsid w:val="00A51212"/>
    <w:rsid w:val="00A51FAD"/>
    <w:rsid w:val="00A53A99"/>
    <w:rsid w:val="00A53DD6"/>
    <w:rsid w:val="00A60D87"/>
    <w:rsid w:val="00A61642"/>
    <w:rsid w:val="00A634B7"/>
    <w:rsid w:val="00A6581B"/>
    <w:rsid w:val="00A65E15"/>
    <w:rsid w:val="00A67719"/>
    <w:rsid w:val="00A67DF5"/>
    <w:rsid w:val="00A71F0A"/>
    <w:rsid w:val="00A74A1D"/>
    <w:rsid w:val="00A84BF6"/>
    <w:rsid w:val="00A8641E"/>
    <w:rsid w:val="00A866E7"/>
    <w:rsid w:val="00A8755C"/>
    <w:rsid w:val="00A925C0"/>
    <w:rsid w:val="00A93801"/>
    <w:rsid w:val="00A939DD"/>
    <w:rsid w:val="00A93DA7"/>
    <w:rsid w:val="00A951E0"/>
    <w:rsid w:val="00A96FA9"/>
    <w:rsid w:val="00AA26D1"/>
    <w:rsid w:val="00AA3283"/>
    <w:rsid w:val="00AA7659"/>
    <w:rsid w:val="00AB39EB"/>
    <w:rsid w:val="00AB6945"/>
    <w:rsid w:val="00AB736C"/>
    <w:rsid w:val="00AC1142"/>
    <w:rsid w:val="00AC1950"/>
    <w:rsid w:val="00AC2158"/>
    <w:rsid w:val="00AC328E"/>
    <w:rsid w:val="00AC43EA"/>
    <w:rsid w:val="00AC458A"/>
    <w:rsid w:val="00AC5688"/>
    <w:rsid w:val="00AC717B"/>
    <w:rsid w:val="00AD3BBE"/>
    <w:rsid w:val="00AD6DEF"/>
    <w:rsid w:val="00AE5158"/>
    <w:rsid w:val="00AF24A4"/>
    <w:rsid w:val="00AF26D8"/>
    <w:rsid w:val="00AF3D70"/>
    <w:rsid w:val="00AF4549"/>
    <w:rsid w:val="00AF5086"/>
    <w:rsid w:val="00AF5625"/>
    <w:rsid w:val="00AF5FB8"/>
    <w:rsid w:val="00AF7B8C"/>
    <w:rsid w:val="00B02C1C"/>
    <w:rsid w:val="00B04F3F"/>
    <w:rsid w:val="00B10245"/>
    <w:rsid w:val="00B1262E"/>
    <w:rsid w:val="00B155CD"/>
    <w:rsid w:val="00B274AF"/>
    <w:rsid w:val="00B344F1"/>
    <w:rsid w:val="00B41F12"/>
    <w:rsid w:val="00B45E7B"/>
    <w:rsid w:val="00B50A34"/>
    <w:rsid w:val="00B55C9E"/>
    <w:rsid w:val="00B6259E"/>
    <w:rsid w:val="00B674E3"/>
    <w:rsid w:val="00B754BB"/>
    <w:rsid w:val="00B81620"/>
    <w:rsid w:val="00B82C7D"/>
    <w:rsid w:val="00B8463A"/>
    <w:rsid w:val="00B8489F"/>
    <w:rsid w:val="00B923AD"/>
    <w:rsid w:val="00B94D05"/>
    <w:rsid w:val="00B9679F"/>
    <w:rsid w:val="00BA1694"/>
    <w:rsid w:val="00BA2ADD"/>
    <w:rsid w:val="00BA378D"/>
    <w:rsid w:val="00BA3FF4"/>
    <w:rsid w:val="00BA5BB7"/>
    <w:rsid w:val="00BA6646"/>
    <w:rsid w:val="00BA7571"/>
    <w:rsid w:val="00BB1A80"/>
    <w:rsid w:val="00BB2E7A"/>
    <w:rsid w:val="00BB77FE"/>
    <w:rsid w:val="00BC5A23"/>
    <w:rsid w:val="00BC65BC"/>
    <w:rsid w:val="00BD07CE"/>
    <w:rsid w:val="00BD4956"/>
    <w:rsid w:val="00BD5651"/>
    <w:rsid w:val="00BD581B"/>
    <w:rsid w:val="00BD5FBC"/>
    <w:rsid w:val="00BD6DE6"/>
    <w:rsid w:val="00BE19C4"/>
    <w:rsid w:val="00BE1B29"/>
    <w:rsid w:val="00BE22D1"/>
    <w:rsid w:val="00BF339D"/>
    <w:rsid w:val="00BF3920"/>
    <w:rsid w:val="00BF4916"/>
    <w:rsid w:val="00BF7ED5"/>
    <w:rsid w:val="00C018E6"/>
    <w:rsid w:val="00C04CB8"/>
    <w:rsid w:val="00C073CA"/>
    <w:rsid w:val="00C07E6F"/>
    <w:rsid w:val="00C07EC5"/>
    <w:rsid w:val="00C25EBF"/>
    <w:rsid w:val="00C267A3"/>
    <w:rsid w:val="00C267B8"/>
    <w:rsid w:val="00C27D32"/>
    <w:rsid w:val="00C27E90"/>
    <w:rsid w:val="00C301A5"/>
    <w:rsid w:val="00C31299"/>
    <w:rsid w:val="00C34779"/>
    <w:rsid w:val="00C372FA"/>
    <w:rsid w:val="00C375EC"/>
    <w:rsid w:val="00C415E2"/>
    <w:rsid w:val="00C43BFB"/>
    <w:rsid w:val="00C4402A"/>
    <w:rsid w:val="00C4585D"/>
    <w:rsid w:val="00C47EE8"/>
    <w:rsid w:val="00C54E24"/>
    <w:rsid w:val="00C55E3F"/>
    <w:rsid w:val="00C602B5"/>
    <w:rsid w:val="00C60792"/>
    <w:rsid w:val="00C60C81"/>
    <w:rsid w:val="00C61AE8"/>
    <w:rsid w:val="00C63BAE"/>
    <w:rsid w:val="00C6526E"/>
    <w:rsid w:val="00C65CEE"/>
    <w:rsid w:val="00C72973"/>
    <w:rsid w:val="00C7581D"/>
    <w:rsid w:val="00C8088D"/>
    <w:rsid w:val="00C8130A"/>
    <w:rsid w:val="00C83CD3"/>
    <w:rsid w:val="00C90ED0"/>
    <w:rsid w:val="00C92914"/>
    <w:rsid w:val="00C93850"/>
    <w:rsid w:val="00C93ECD"/>
    <w:rsid w:val="00C9426B"/>
    <w:rsid w:val="00CA3B48"/>
    <w:rsid w:val="00CA4F57"/>
    <w:rsid w:val="00CA5C45"/>
    <w:rsid w:val="00CA6624"/>
    <w:rsid w:val="00CB2101"/>
    <w:rsid w:val="00CB2347"/>
    <w:rsid w:val="00CB36C4"/>
    <w:rsid w:val="00CC1C23"/>
    <w:rsid w:val="00CC42FF"/>
    <w:rsid w:val="00CC4680"/>
    <w:rsid w:val="00CC5933"/>
    <w:rsid w:val="00CD0737"/>
    <w:rsid w:val="00CD32A1"/>
    <w:rsid w:val="00CD6C2C"/>
    <w:rsid w:val="00CD6D45"/>
    <w:rsid w:val="00CD7453"/>
    <w:rsid w:val="00CE2B45"/>
    <w:rsid w:val="00CE38EA"/>
    <w:rsid w:val="00CE52B2"/>
    <w:rsid w:val="00CE6FC5"/>
    <w:rsid w:val="00CF1751"/>
    <w:rsid w:val="00CF1DBD"/>
    <w:rsid w:val="00CF22CF"/>
    <w:rsid w:val="00CF3159"/>
    <w:rsid w:val="00CF7041"/>
    <w:rsid w:val="00D02992"/>
    <w:rsid w:val="00D036E4"/>
    <w:rsid w:val="00D0515A"/>
    <w:rsid w:val="00D05DC5"/>
    <w:rsid w:val="00D138B0"/>
    <w:rsid w:val="00D16A56"/>
    <w:rsid w:val="00D2082E"/>
    <w:rsid w:val="00D216AF"/>
    <w:rsid w:val="00D21728"/>
    <w:rsid w:val="00D21A2A"/>
    <w:rsid w:val="00D232A2"/>
    <w:rsid w:val="00D31C32"/>
    <w:rsid w:val="00D33CB5"/>
    <w:rsid w:val="00D341CA"/>
    <w:rsid w:val="00D414E7"/>
    <w:rsid w:val="00D42DA3"/>
    <w:rsid w:val="00D447C8"/>
    <w:rsid w:val="00D44E56"/>
    <w:rsid w:val="00D525E1"/>
    <w:rsid w:val="00D54B40"/>
    <w:rsid w:val="00D5532A"/>
    <w:rsid w:val="00D5533F"/>
    <w:rsid w:val="00D57BA2"/>
    <w:rsid w:val="00D601A2"/>
    <w:rsid w:val="00D654CE"/>
    <w:rsid w:val="00D72414"/>
    <w:rsid w:val="00D74DA8"/>
    <w:rsid w:val="00D75643"/>
    <w:rsid w:val="00D83A6A"/>
    <w:rsid w:val="00D8615B"/>
    <w:rsid w:val="00D902BE"/>
    <w:rsid w:val="00D95FFA"/>
    <w:rsid w:val="00DA05C3"/>
    <w:rsid w:val="00DA08B1"/>
    <w:rsid w:val="00DA56C7"/>
    <w:rsid w:val="00DB00E7"/>
    <w:rsid w:val="00DB151F"/>
    <w:rsid w:val="00DB2B94"/>
    <w:rsid w:val="00DB41F4"/>
    <w:rsid w:val="00DB7977"/>
    <w:rsid w:val="00DD09CF"/>
    <w:rsid w:val="00DD4180"/>
    <w:rsid w:val="00DD6352"/>
    <w:rsid w:val="00DD6887"/>
    <w:rsid w:val="00DE18A1"/>
    <w:rsid w:val="00DE44C8"/>
    <w:rsid w:val="00DF0544"/>
    <w:rsid w:val="00DF5DDF"/>
    <w:rsid w:val="00E02AB7"/>
    <w:rsid w:val="00E02B14"/>
    <w:rsid w:val="00E02F1C"/>
    <w:rsid w:val="00E1059C"/>
    <w:rsid w:val="00E13900"/>
    <w:rsid w:val="00E13AB3"/>
    <w:rsid w:val="00E15BCE"/>
    <w:rsid w:val="00E17CC4"/>
    <w:rsid w:val="00E247DB"/>
    <w:rsid w:val="00E32E69"/>
    <w:rsid w:val="00E33F37"/>
    <w:rsid w:val="00E347AE"/>
    <w:rsid w:val="00E3576A"/>
    <w:rsid w:val="00E363D7"/>
    <w:rsid w:val="00E40F5D"/>
    <w:rsid w:val="00E51D41"/>
    <w:rsid w:val="00E5551F"/>
    <w:rsid w:val="00E55D2D"/>
    <w:rsid w:val="00E56966"/>
    <w:rsid w:val="00E572C2"/>
    <w:rsid w:val="00E62E5B"/>
    <w:rsid w:val="00E63BCC"/>
    <w:rsid w:val="00E66FF8"/>
    <w:rsid w:val="00E70EF6"/>
    <w:rsid w:val="00E70EF8"/>
    <w:rsid w:val="00E7151E"/>
    <w:rsid w:val="00E779ED"/>
    <w:rsid w:val="00E80B90"/>
    <w:rsid w:val="00E9132E"/>
    <w:rsid w:val="00E94B4B"/>
    <w:rsid w:val="00E97EB9"/>
    <w:rsid w:val="00EA0F57"/>
    <w:rsid w:val="00EA1230"/>
    <w:rsid w:val="00EA1A00"/>
    <w:rsid w:val="00EA2FFD"/>
    <w:rsid w:val="00EA31C5"/>
    <w:rsid w:val="00EA7E25"/>
    <w:rsid w:val="00EB0D93"/>
    <w:rsid w:val="00EC50D2"/>
    <w:rsid w:val="00EC6E5D"/>
    <w:rsid w:val="00ED2058"/>
    <w:rsid w:val="00ED47B9"/>
    <w:rsid w:val="00ED5476"/>
    <w:rsid w:val="00ED6C4C"/>
    <w:rsid w:val="00ED7C6C"/>
    <w:rsid w:val="00EE01D6"/>
    <w:rsid w:val="00EE54D0"/>
    <w:rsid w:val="00EE576C"/>
    <w:rsid w:val="00EE710C"/>
    <w:rsid w:val="00EF5114"/>
    <w:rsid w:val="00EF559B"/>
    <w:rsid w:val="00F00448"/>
    <w:rsid w:val="00F01D8C"/>
    <w:rsid w:val="00F023E9"/>
    <w:rsid w:val="00F066CE"/>
    <w:rsid w:val="00F118A5"/>
    <w:rsid w:val="00F14457"/>
    <w:rsid w:val="00F159F9"/>
    <w:rsid w:val="00F2394B"/>
    <w:rsid w:val="00F24E42"/>
    <w:rsid w:val="00F26163"/>
    <w:rsid w:val="00F27ACC"/>
    <w:rsid w:val="00F312FB"/>
    <w:rsid w:val="00F337B2"/>
    <w:rsid w:val="00F340E9"/>
    <w:rsid w:val="00F34E62"/>
    <w:rsid w:val="00F35A7E"/>
    <w:rsid w:val="00F42795"/>
    <w:rsid w:val="00F453BE"/>
    <w:rsid w:val="00F460B9"/>
    <w:rsid w:val="00F560A0"/>
    <w:rsid w:val="00F62E2E"/>
    <w:rsid w:val="00F64C8F"/>
    <w:rsid w:val="00F661A3"/>
    <w:rsid w:val="00F703B4"/>
    <w:rsid w:val="00F71720"/>
    <w:rsid w:val="00F7203B"/>
    <w:rsid w:val="00F76791"/>
    <w:rsid w:val="00F834E3"/>
    <w:rsid w:val="00F84B5F"/>
    <w:rsid w:val="00F900F6"/>
    <w:rsid w:val="00F93C3A"/>
    <w:rsid w:val="00F9769F"/>
    <w:rsid w:val="00FA0173"/>
    <w:rsid w:val="00FA0B23"/>
    <w:rsid w:val="00FA3CA8"/>
    <w:rsid w:val="00FA3D92"/>
    <w:rsid w:val="00FA4E88"/>
    <w:rsid w:val="00FA50CD"/>
    <w:rsid w:val="00FA52EC"/>
    <w:rsid w:val="00FA75A9"/>
    <w:rsid w:val="00FB04F2"/>
    <w:rsid w:val="00FB1C56"/>
    <w:rsid w:val="00FB2001"/>
    <w:rsid w:val="00FB5405"/>
    <w:rsid w:val="00FB59B0"/>
    <w:rsid w:val="00FC313E"/>
    <w:rsid w:val="00FC50FF"/>
    <w:rsid w:val="00FC72C9"/>
    <w:rsid w:val="00FD0A3E"/>
    <w:rsid w:val="00FD2A8D"/>
    <w:rsid w:val="00FD33FB"/>
    <w:rsid w:val="00FD4E71"/>
    <w:rsid w:val="00FD50D6"/>
    <w:rsid w:val="00FD58F7"/>
    <w:rsid w:val="00FE463C"/>
    <w:rsid w:val="00FF09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SC normal body text (alt n),NESC normal body text (alt + n),NESC normal body text"/>
    <w:qFormat/>
    <w:rsid w:val="00A61642"/>
    <w:pPr>
      <w:spacing w:after="240" w:line="264" w:lineRule="auto"/>
      <w:jc w:val="both"/>
    </w:pPr>
    <w:rPr>
      <w:sz w:val="24"/>
    </w:rPr>
  </w:style>
  <w:style w:type="paragraph" w:styleId="Titre1">
    <w:name w:val="heading 1"/>
    <w:aliases w:val="NESC Chapter Heading (alt 1)"/>
    <w:basedOn w:val="Normal"/>
    <w:next w:val="NESCSectionheadingalt2"/>
    <w:link w:val="Titre1Car"/>
    <w:uiPriority w:val="2"/>
    <w:qFormat/>
    <w:rsid w:val="00214AAE"/>
    <w:pPr>
      <w:keepNext/>
      <w:keepLines/>
      <w:spacing w:after="720"/>
      <w:outlineLvl w:val="0"/>
    </w:pPr>
    <w:rPr>
      <w:rFonts w:eastAsiaTheme="majorEastAsia" w:cstheme="majorBidi"/>
      <w:b/>
      <w:bCs/>
      <w:sz w:val="44"/>
      <w:szCs w:val="28"/>
    </w:rPr>
  </w:style>
  <w:style w:type="paragraph" w:styleId="Titre2">
    <w:name w:val="heading 2"/>
    <w:basedOn w:val="Normal"/>
    <w:next w:val="Normal"/>
    <w:link w:val="Titre2Car"/>
    <w:uiPriority w:val="9"/>
    <w:semiHidden/>
    <w:unhideWhenUsed/>
    <w:qFormat/>
    <w:rsid w:val="00C073CA"/>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Titre3">
    <w:name w:val="heading 3"/>
    <w:basedOn w:val="Normal"/>
    <w:next w:val="Normal"/>
    <w:link w:val="Titre3Car"/>
    <w:uiPriority w:val="9"/>
    <w:semiHidden/>
    <w:unhideWhenUsed/>
    <w:qFormat/>
    <w:rsid w:val="00C073C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qFormat/>
    <w:rsid w:val="00C073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SC Chapter Heading (alt 1) Car"/>
    <w:basedOn w:val="Policepardfaut"/>
    <w:link w:val="Titre1"/>
    <w:uiPriority w:val="2"/>
    <w:rsid w:val="00214AAE"/>
    <w:rPr>
      <w:rFonts w:eastAsiaTheme="majorEastAsia" w:cstheme="majorBidi"/>
      <w:b/>
      <w:bCs/>
      <w:sz w:val="44"/>
      <w:szCs w:val="28"/>
      <w:lang w:val="en-IE"/>
    </w:rPr>
  </w:style>
  <w:style w:type="character" w:customStyle="1" w:styleId="Titre4Car">
    <w:name w:val="Titre 4 Car"/>
    <w:basedOn w:val="Policepardfaut"/>
    <w:link w:val="Titre4"/>
    <w:semiHidden/>
    <w:rsid w:val="00C073CA"/>
    <w:rPr>
      <w:rFonts w:asciiTheme="majorHAnsi" w:eastAsiaTheme="majorEastAsia" w:hAnsiTheme="majorHAnsi" w:cstheme="majorBidi"/>
      <w:b/>
      <w:bCs/>
      <w:i/>
      <w:iCs/>
      <w:color w:val="4F81BD" w:themeColor="accent1"/>
      <w:sz w:val="26"/>
      <w:lang w:val="en-IE"/>
    </w:rPr>
  </w:style>
  <w:style w:type="paragraph" w:styleId="Listepuces">
    <w:name w:val="List Bullet"/>
    <w:aliases w:val="NESC bullet (alt . )"/>
    <w:basedOn w:val="Normal"/>
    <w:uiPriority w:val="8"/>
    <w:qFormat/>
    <w:rsid w:val="00214AAE"/>
    <w:pPr>
      <w:numPr>
        <w:numId w:val="2"/>
      </w:numPr>
      <w:spacing w:after="120"/>
    </w:pPr>
    <w:rPr>
      <w:lang w:val="en-US"/>
    </w:rPr>
  </w:style>
  <w:style w:type="paragraph" w:customStyle="1" w:styleId="NESCSectionheadingalt2">
    <w:name w:val="NESC Section heading (alt 2)"/>
    <w:basedOn w:val="Titre2"/>
    <w:next w:val="Normal"/>
    <w:uiPriority w:val="2"/>
    <w:qFormat/>
    <w:rsid w:val="00214AAE"/>
    <w:pPr>
      <w:spacing w:before="120" w:after="240" w:line="240" w:lineRule="auto"/>
      <w:ind w:left="1418" w:hanging="1418"/>
    </w:pPr>
    <w:rPr>
      <w:rFonts w:asciiTheme="minorHAnsi" w:hAnsiTheme="minorHAnsi"/>
      <w:color w:val="auto"/>
      <w:sz w:val="36"/>
      <w:szCs w:val="32"/>
    </w:rPr>
  </w:style>
  <w:style w:type="paragraph" w:customStyle="1" w:styleId="NESCsub-sectionheadingalt3">
    <w:name w:val="NESC sub-section heading (alt 3)"/>
    <w:basedOn w:val="Titre3"/>
    <w:next w:val="Normal"/>
    <w:uiPriority w:val="3"/>
    <w:rsid w:val="00214AAE"/>
    <w:pPr>
      <w:spacing w:after="240" w:line="240" w:lineRule="auto"/>
      <w:ind w:left="1418" w:hanging="1418"/>
    </w:pPr>
    <w:rPr>
      <w:rFonts w:asciiTheme="minorHAnsi" w:hAnsiTheme="minorHAnsi"/>
      <w:color w:val="auto"/>
      <w:sz w:val="32"/>
      <w:szCs w:val="30"/>
    </w:rPr>
  </w:style>
  <w:style w:type="paragraph" w:customStyle="1" w:styleId="NESCsub-sub-sectionheadingalt4">
    <w:name w:val="NESC sub-sub-section heading (alt 4)"/>
    <w:basedOn w:val="Titre4"/>
    <w:next w:val="Normal"/>
    <w:uiPriority w:val="4"/>
    <w:rsid w:val="00214AAE"/>
    <w:pPr>
      <w:numPr>
        <w:ilvl w:val="0"/>
        <w:numId w:val="0"/>
      </w:numPr>
      <w:spacing w:before="0" w:after="240" w:line="240" w:lineRule="auto"/>
      <w:ind w:left="720" w:hanging="720"/>
    </w:pPr>
    <w:rPr>
      <w:rFonts w:ascii="Calibri" w:hAnsi="Calibri"/>
      <w:b w:val="0"/>
      <w:color w:val="auto"/>
      <w:sz w:val="30"/>
      <w:szCs w:val="30"/>
    </w:rPr>
  </w:style>
  <w:style w:type="character" w:customStyle="1" w:styleId="Titre2Car">
    <w:name w:val="Titre 2 Car"/>
    <w:basedOn w:val="Policepardfaut"/>
    <w:link w:val="Titre2"/>
    <w:uiPriority w:val="9"/>
    <w:semiHidden/>
    <w:rsid w:val="00C073CA"/>
    <w:rPr>
      <w:rFonts w:asciiTheme="majorHAnsi" w:eastAsiaTheme="majorEastAsia" w:hAnsiTheme="majorHAnsi" w:cstheme="majorBidi"/>
      <w:b/>
      <w:bCs/>
      <w:color w:val="4F81BD" w:themeColor="accent1"/>
      <w:sz w:val="26"/>
      <w:szCs w:val="26"/>
      <w:lang w:val="en-IE"/>
    </w:rPr>
  </w:style>
  <w:style w:type="character" w:customStyle="1" w:styleId="Titre3Car">
    <w:name w:val="Titre 3 Car"/>
    <w:basedOn w:val="Policepardfaut"/>
    <w:link w:val="Titre3"/>
    <w:uiPriority w:val="9"/>
    <w:semiHidden/>
    <w:rsid w:val="00C073CA"/>
    <w:rPr>
      <w:rFonts w:asciiTheme="majorHAnsi" w:eastAsiaTheme="majorEastAsia" w:hAnsiTheme="majorHAnsi" w:cstheme="majorBidi"/>
      <w:b/>
      <w:bCs/>
      <w:color w:val="4F81BD" w:themeColor="accent1"/>
      <w:sz w:val="26"/>
      <w:lang w:val="en-IE"/>
    </w:rPr>
  </w:style>
  <w:style w:type="paragraph" w:styleId="Explorateurdedocuments">
    <w:name w:val="Document Map"/>
    <w:basedOn w:val="Normal"/>
    <w:link w:val="ExplorateurdedocumentsCar"/>
    <w:uiPriority w:val="99"/>
    <w:semiHidden/>
    <w:unhideWhenUsed/>
    <w:rsid w:val="0024524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4524E"/>
    <w:rPr>
      <w:rFonts w:ascii="Tahoma" w:hAnsi="Tahoma" w:cs="Tahoma"/>
      <w:sz w:val="16"/>
      <w:szCs w:val="16"/>
    </w:rPr>
  </w:style>
  <w:style w:type="paragraph" w:styleId="En-tte">
    <w:name w:val="header"/>
    <w:basedOn w:val="Normal"/>
    <w:link w:val="En-tteCar"/>
    <w:uiPriority w:val="99"/>
    <w:semiHidden/>
    <w:unhideWhenUsed/>
    <w:rsid w:val="00DB41F4"/>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DB41F4"/>
    <w:rPr>
      <w:sz w:val="24"/>
    </w:rPr>
  </w:style>
  <w:style w:type="paragraph" w:styleId="Pieddepage">
    <w:name w:val="footer"/>
    <w:basedOn w:val="Normal"/>
    <w:link w:val="PieddepageCar"/>
    <w:uiPriority w:val="99"/>
    <w:unhideWhenUsed/>
    <w:rsid w:val="00DB41F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B41F4"/>
    <w:rPr>
      <w:sz w:val="24"/>
    </w:rPr>
  </w:style>
  <w:style w:type="paragraph" w:styleId="Textedebulles">
    <w:name w:val="Balloon Text"/>
    <w:basedOn w:val="Normal"/>
    <w:link w:val="TextedebullesCar"/>
    <w:uiPriority w:val="99"/>
    <w:semiHidden/>
    <w:unhideWhenUsed/>
    <w:rsid w:val="00A866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1820</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rodonnell</dc:creator>
  <cp:lastModifiedBy>Utilisateur</cp:lastModifiedBy>
  <cp:revision>3</cp:revision>
  <dcterms:created xsi:type="dcterms:W3CDTF">2014-01-19T16:45:00Z</dcterms:created>
  <dcterms:modified xsi:type="dcterms:W3CDTF">2014-01-19T16:48:00Z</dcterms:modified>
</cp:coreProperties>
</file>